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CGST &amp; Central Excise Division]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issued under the erstwhile Service Tax / Central Excise regime alleging short payment on the basis of a difference between the receipts in Form 26AS / the audit report and the value declared in the ST-3 / Excise returns — SCN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Reference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basis of the demand (a difference between the receipts shown in Form 26AS / the audit report and the value reported in the Service Tax / Excise return), and the extracts from Brindavan Beverages and Kaur &amp; Singh, are reproduced from the source. This is a legacy (pre-GST) matter under the Finance Act, 1994 / the Central Excise Act, 1944, saved by Section 174 of the CGST Act, 2017.</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issued under the erstwhile Service Tax / Central Excise regime, alleges short payment on the strength of a difference between the receipts reflected in Form 26AS (income-tax data) / the audit report and the value declared in the Company’s ST-3 / Excise returns. The demand is unsustainable. A Show Cause Notice founded merely on a third-party data mismatch, without identifying the taxable event or how the difference represents consideration for a taxable service, is vague and bad in law. A difference between 26AS and the service-tax return cannot, by itself, sustain a demand, the two being prepared on different bases. And to the extent the demand invokes the extended period of limitation, it is barred, no suppression with intent to evade being made out.</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[erstwhile Service Tax Registration / Central Excise Registration No. ____], was a registered assessee under the Finance Act, 1994 / the Central Excise Act, 1944 for the relevant period.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By the Impugned SCN, the Department alleges a difference between the receipts shown in Form 26AS / the audit report for FY [____] and the value reported in the Company’s ST-3 / Excise returns, and demands the differential tax with interest and penalty, apparently invoking the extended period.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true position. </w:t>
      </w:r>
      <w:r>
        <w:rPr>
          <w:rFonts w:ascii="Times New Roman" w:cs="Times New Roman" w:eastAsia="Times New Roman" w:hAnsi="Times New Roman"/>
          <w:b w:val="false"/>
          <w:bCs w:val="false"/>
          <w:i w:val="false"/>
          <w:iCs w:val="false"/>
          <w:caps w:val="false"/>
          <w:sz w:val="24"/>
          <w:szCs w:val="24"/>
        </w:rPr>
        <w:t xml:space="preserve">The difference is explained by items that are reflected in 26AS but are not consideration for a taxable service (or are otherwise not taxable) — for instance, reimbursements, advances, non-taxable / exempt receipts, sale of goods, receipts of earlier periods, and timing differences between the accrual basis of 26AS and the basis of the returns — as detailed in Annexure 1.</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A Show Cause Notice founded merely on a 26AS mismatch is vague and bad in law — Brindavan Beverages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Show Cause Notice is the foundation of the proceeding and must set out, with particulars, the precise case the assessee is to meet — here, the taxable service alleged, the recipient, and how the differential figure represents consideration for a taxable service. The Impugned SCN does none of this; it merely points to a difference between datasets and raises a demand. Reliance is placed on </w:t>
      </w:r>
      <w:r>
        <w:rPr>
          <w:rFonts w:ascii="Times New Roman" w:cs="Times New Roman" w:eastAsia="Times New Roman" w:hAnsi="Times New Roman"/>
          <w:b w:val="false"/>
          <w:bCs w:val="false"/>
          <w:i/>
          <w:iCs/>
          <w:caps w:val="false"/>
          <w:sz w:val="24"/>
          <w:szCs w:val="24"/>
        </w:rPr>
        <w:t xml:space="preserve">Commissioner of Central Excise, Bangalore v. Brindavan Beverages (P) Ltd.</w:t>
      </w:r>
      <w:r>
        <w:rPr>
          <w:rFonts w:ascii="Times New Roman" w:cs="Times New Roman" w:eastAsia="Times New Roman" w:hAnsi="Times New Roman"/>
          <w:b w:val="false"/>
          <w:bCs w:val="false"/>
          <w:i w:val="false"/>
          <w:iCs w:val="false"/>
          <w:caps w:val="false"/>
          <w:sz w:val="24"/>
          <w:szCs w:val="24"/>
        </w:rPr>
        <w:t xml:space="preserve">, (2007) 5 SCC 388 / MANU/SC/2645/2007 [VERIFY], holding that where the allegations in the show cause notice are vague and lack the necessary particulars, the notice is bad and the proceeding fails; and on </w:t>
      </w:r>
      <w:r>
        <w:rPr>
          <w:rFonts w:ascii="Times New Roman" w:cs="Times New Roman" w:eastAsia="Times New Roman" w:hAnsi="Times New Roman"/>
          <w:b w:val="false"/>
          <w:bCs w:val="false"/>
          <w:i/>
          <w:iCs/>
          <w:caps w:val="false"/>
          <w:sz w:val="24"/>
          <w:szCs w:val="24"/>
        </w:rPr>
        <w:t xml:space="preserve">Kaur &amp; Singh v. Collector of Central Excise, New Delhi</w:t>
      </w:r>
      <w:r>
        <w:rPr>
          <w:rFonts w:ascii="Times New Roman" w:cs="Times New Roman" w:eastAsia="Times New Roman" w:hAnsi="Times New Roman"/>
          <w:b w:val="false"/>
          <w:bCs w:val="false"/>
          <w:i w:val="false"/>
          <w:iCs w:val="false"/>
          <w:caps w:val="false"/>
          <w:sz w:val="24"/>
          <w:szCs w:val="24"/>
        </w:rPr>
        <w:t xml:space="preserve">, (1997) 6 SCC 759 / 1997 (94) ELT 289 (SC) [VERIFY], on the requirement that the notice clearly communicate the case to be met.</w:t>
      </w:r>
    </w:p>
    <w:p>
      <w:pPr>
        <w:pStyle w:val="Heading2"/>
        <w:spacing w:after="140" w:before="200"/>
      </w:pPr>
      <w:r>
        <w:rPr>
          <w:rFonts w:ascii="Times New Roman" w:cs="Times New Roman" w:eastAsia="Times New Roman" w:hAnsi="Times New Roman"/>
          <w:b/>
          <w:bCs/>
          <w:sz w:val="24"/>
          <w:szCs w:val="24"/>
        </w:rPr>
        <w:t xml:space="preserve">Submission 2: A 26AS / ST-3 difference cannot, by itself, sustain a service-tax demand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Form 26AS is income-tax data reflecting amounts on which tax was deducted at source; it is prepared on a basis different from the service-tax return and routinely includes receipts that are not consideration for a taxable service (reimbursements, advances, sale of goods, exempt or non-taxable receipts) and amounts of different periods. It is settled in a consistent line of Tribunal authority that a demand of service tax cannot be raised solely on the difference between the figures in Form 26AS and the ST-3 return, without independent evidence that the difference represents consideration for a taxable service. The differential here is fully explained in Annexure 1, and no part of it is shown by the Department to be consideration for a taxable service. [VERIFY for the specific Tribunal authorities to be cited]</w:t>
      </w:r>
    </w:p>
    <w:p>
      <w:pPr>
        <w:pStyle w:val="Heading2"/>
        <w:spacing w:after="140" w:before="200"/>
      </w:pPr>
      <w:r>
        <w:rPr>
          <w:rFonts w:ascii="Times New Roman" w:cs="Times New Roman" w:eastAsia="Times New Roman" w:hAnsi="Times New Roman"/>
          <w:b/>
          <w:bCs/>
          <w:sz w:val="24"/>
          <w:szCs w:val="24"/>
        </w:rPr>
        <w:t xml:space="preserve">Submission 3: The extended period of limitation is not available — no suppression with intent to evade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To the extent the Impugned SCN invokes the extended period of limitation (under the proviso to Section 73(1) of the Finance Act, 1994 / Section 11A of the Central Excise Act, 1944), it is barred. The extended period requires fraud, collusion, wilful misstatement or suppression of facts with intent to evade tax. The Company filed its periodic returns and reflected its receipts in its audited accounts and income-tax filings; the figures relied upon by the Department are drawn from the Company’s own 26AS. There is no suppression, still less with intent to evade. A demand for the extended period founded on the assessee’s own disclosed data cannot be sustained, and the demand is liable to be set aside as time-barred to that extent.</w:t>
      </w:r>
    </w:p>
    <w:p>
      <w:pPr>
        <w:pStyle w:val="Heading2"/>
        <w:spacing w:after="140" w:before="200"/>
      </w:pPr>
      <w:r>
        <w:rPr>
          <w:rFonts w:ascii="Times New Roman" w:cs="Times New Roman" w:eastAsia="Times New Roman" w:hAnsi="Times New Roman"/>
          <w:b/>
          <w:bCs/>
          <w:sz w:val="24"/>
          <w:szCs w:val="24"/>
        </w:rPr>
        <w:t xml:space="preserve">Submission 4 (without prejudice): No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since no tax is due and there is no suppression, no penalty under the erstwhile law is exigible. The matter is, at highest, one of reconciliation of datasets, which the Company has explained.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Impugned SCN as vague and bad in law, founded merely on a 26AS / ST-3 data mismatch;</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 26AS / ST-3 difference cannot by itself sustain a demand, and ACCEPT the reconciliation at Annexure 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extended period of limitation is not available, no suppression with intent to evade being made out, and that the demand is time-barred to that extent;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73 (including the proviso) and 78 of the Finance Act, 1994; Section 11A of the Central Excise Act, 1944; Section 174 of the CGST Act, 2017 (savings).</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Commissioner of Central Excise, Bangalore v. Brindavan Beverages (P) Ltd., Supreme Court, (2007) 5 SCC 388 / MANU/SC/2645/2007; Kaur &amp; Singh v. Collector of Central Excise, New Delhi, (1997) 6 SCC 759 / 1997 (94) ELT 289 (SC).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Tribunal authority that a service-tax demand cannot be raised solely on a Form 26AS / ST-3 mismatch — to be cited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2026-06-13T08:26:23.330Z</dcterms:created>
  <dcterms:modified xsi:type="dcterms:W3CDTF">2026-06-13T08:26:23.330Z</dcterms:modified>
</cp:coreProperties>
</file>

<file path=docProps/custom.xml><?xml version="1.0" encoding="utf-8"?>
<Properties xmlns="http://schemas.openxmlformats.org/officeDocument/2006/custom-properties" xmlns:vt="http://schemas.openxmlformats.org/officeDocument/2006/docPropsVTypes"/>
</file>