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demanding interest, late fee and penalty for the alleged improper / belated filing of Form GSTR-3B for August 2017, the tax having been deposited within time and the deficiency having arisen solely from a technical failure of the common portal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case authority is marked [VERIFY] for a final check before filing. The facts (the August 2017 liability discharged partly in cash through HDFC Bank and partly through ITC; the challan paid; and the return not properly going through on the portal) are reproduced from the source, as are the references to Section 49.</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proceeds on the footing that the Company’s Form GSTR-3B for August 2017 was not properly / timely filed, and demands interest, late fee and penalty. The deficiency arose solely from a </w:t>
      </w:r>
      <w:r>
        <w:rPr>
          <w:rFonts w:ascii="Times New Roman" w:cs="Times New Roman" w:eastAsia="Times New Roman" w:hAnsi="Times New Roman"/>
          <w:b/>
          <w:bCs/>
          <w:i w:val="false"/>
          <w:iCs w:val="false"/>
          <w:caps w:val="false"/>
          <w:sz w:val="24"/>
          <w:szCs w:val="24"/>
        </w:rPr>
        <w:t xml:space="preserve">technical failure of the common portal</w:t>
      </w:r>
      <w:r>
        <w:rPr>
          <w:rFonts w:ascii="Times New Roman" w:cs="Times New Roman" w:eastAsia="Times New Roman" w:hAnsi="Times New Roman"/>
          <w:b w:val="false"/>
          <w:bCs w:val="false"/>
          <w:i w:val="false"/>
          <w:iCs w:val="false"/>
          <w:caps w:val="false"/>
          <w:sz w:val="24"/>
          <w:szCs w:val="24"/>
        </w:rPr>
        <w:t xml:space="preserve"> at the time of submission, in the early months of GST. The tax itself was discharged within time — partly in cash deposited through internet banking (Section 49(1)) and partly from the available input tax credit — and the cash stood credited to the electronic cash ledger by challan within the due date. The Company cannot be visited with interest, late fee or penalty for the failure of the system it was statutorily obliged to use. The deficiency, being a system-generated and rectifiable one, is at most a minor breach within Section 126.</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has complied with the electronic procedure under the Act through the common portal since 1 July 2017.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discharge of the August 2017 liability. </w:t>
      </w:r>
      <w:r>
        <w:rPr>
          <w:rFonts w:ascii="Times New Roman" w:cs="Times New Roman" w:eastAsia="Times New Roman" w:hAnsi="Times New Roman"/>
          <w:b w:val="false"/>
          <w:bCs w:val="false"/>
          <w:i w:val="false"/>
          <w:iCs w:val="false"/>
          <w:caps w:val="false"/>
          <w:sz w:val="24"/>
          <w:szCs w:val="24"/>
        </w:rPr>
        <w:t xml:space="preserve">The total tax liability for August 2017 was Rs. [____]. The Company discharged it partly in cash — Rs. [____] paid from its account with HDFC Bank by challan dated [____], credited to the electronic cash ledger — and partly by utilisation of the input tax credit of Rs. [____] available in its electronic credit ledger, in accordance with Section 49.</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technical failure. </w:t>
      </w:r>
      <w:r>
        <w:rPr>
          <w:rFonts w:ascii="Times New Roman" w:cs="Times New Roman" w:eastAsia="Times New Roman" w:hAnsi="Times New Roman"/>
          <w:b w:val="false"/>
          <w:bCs w:val="false"/>
          <w:i w:val="false"/>
          <w:iCs w:val="false"/>
          <w:caps w:val="false"/>
          <w:sz w:val="24"/>
          <w:szCs w:val="24"/>
        </w:rPr>
        <w:t xml:space="preserve">At the time of submission of Form GSTR-3B, the common portal failed / threw an error, and the return [could not be filed / was saved with an incorrect auto-populated figure that could not be corrected, the form having no revision facility]. The Company raised a grievance [ticket No. ____ dated ____] and has preserved the screenshots / acknowledgments at Annexure 2.</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tax was discharged within time; the deficiency is the system’s, not the Company’s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49(1) permits deposit towards tax through internet banking, the amount being credited to the electronic cash ledger; the credit ledger likewise stood charged with the Company’s eligible ITC. Both sources of discharge were in place within the due date — the cash stood deposited by challan, and the credit stood available — and the only failure was the portal’s, at the final step of submission. Where the taxpayer has done everything within its power and the deficiency arises from the failure of the system the law compels it to use, the taxpayer cannot be prejudiced. A consistent line of High Court authority has relieved taxpayers of the consequences of portal failures in the initial period of GST. [VERIFY for the jurisdictional authorities to be cited]</w:t>
      </w:r>
    </w:p>
    <w:p>
      <w:pPr>
        <w:pStyle w:val="Heading2"/>
        <w:spacing w:after="140" w:before="200"/>
      </w:pPr>
      <w:r>
        <w:rPr>
          <w:rFonts w:ascii="Times New Roman" w:cs="Times New Roman" w:eastAsia="Times New Roman" w:hAnsi="Times New Roman"/>
          <w:b/>
          <w:bCs/>
          <w:sz w:val="24"/>
          <w:szCs w:val="24"/>
        </w:rPr>
        <w:t xml:space="preserve">Ground 2: No interest where the amounts stood deposited / available within time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Interest under Section 50 compensates the exchequer for the deprivation of money. Where the cash component stood deposited in the electronic cash ledger by challan within the due date and the balance was covered by available credit, the exchequer was not deprived of anything; the formal debit alone awaited the system’s cooperation. High Courts have held that no interest is leviable for the period during which the amount lay deposited in the cash ledger — see </w:t>
      </w:r>
      <w:r>
        <w:rPr>
          <w:rFonts w:ascii="Times New Roman" w:cs="Times New Roman" w:eastAsia="Times New Roman" w:hAnsi="Times New Roman"/>
          <w:b w:val="false"/>
          <w:bCs w:val="false"/>
          <w:i/>
          <w:iCs/>
          <w:caps w:val="false"/>
          <w:sz w:val="24"/>
          <w:szCs w:val="24"/>
        </w:rPr>
        <w:t xml:space="preserve">Maansarovar Motors Pvt. Ltd. v. Assistant Commissioner</w:t>
      </w:r>
      <w:r>
        <w:rPr>
          <w:rFonts w:ascii="Times New Roman" w:cs="Times New Roman" w:eastAsia="Times New Roman" w:hAnsi="Times New Roman"/>
          <w:b w:val="false"/>
          <w:bCs w:val="false"/>
          <w:i w:val="false"/>
          <w:iCs w:val="false"/>
          <w:caps w:val="false"/>
          <w:sz w:val="24"/>
          <w:szCs w:val="24"/>
        </w:rPr>
        <w:t xml:space="preserve">, Madras HC, W.P. No. 4468 of 2020, 29.09.2020 — and, in any event, by the proviso to Section 50(1) interest could attach only to the net cash component. The Company is conscious of the contrary line — RSB Transmissions (India) Ltd. v. Union of India, Jharkhand HC, 29.08.2022, treating a cash-ledger deposit as payment only on debit — but on the present facts the failure was the portal’s alone, and no part of the delay is attributable to the Company. The demand of interest on these facts is unsustainable.</w:t>
      </w:r>
    </w:p>
    <w:p>
      <w:pPr>
        <w:pStyle w:val="Heading2"/>
        <w:spacing w:after="140" w:before="200"/>
      </w:pPr>
      <w:r>
        <w:rPr>
          <w:rFonts w:ascii="Times New Roman" w:cs="Times New Roman" w:eastAsia="Times New Roman" w:hAnsi="Times New Roman"/>
          <w:b/>
          <w:bCs/>
          <w:sz w:val="24"/>
          <w:szCs w:val="24"/>
        </w:rPr>
        <w:t xml:space="preserve">Ground 3: No late fee or penalty for a system-caused, rectifiable deficiency — Section 126; the IT grievance mechanism</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itself recognised the incidence of portal failures and established the IT Grievance Redressal Mechanism by Circular No. 39/13/2018-GST dated 03.04.2018 [VERIFY], under which taxpayers prevented by technical glitches are to be relieved of the consequences, including late fee, on verification by GSTN. Further, errors of this kind in GSTR-3B are rectifiable in the returns of subsequent months in terms of Circular No. 26/26/2017-GST dated 29.12.2017 [VERIFY]. A deficiency that is system-caused, easily rectifiable and revenue-neutral is a minor breach within Section 126, for which no penalty is imposable.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August 2017 liability stood discharged within time, the deficiency in the filing of Form GSTR-3B having arisen solely from the failure of the common portal;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of interest, the amounts having stood deposited / available within the due date; in the alternative, CONFINE any interest to the net cash component for the period of actual deprivation;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WAIVE / DROP the late fee and penalty, the deficiency being system-caused and a minor breach within Section 126, and REFER the matter, if needed, to the IT Grievance Redressal Mechanism;</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rectification of the return in terms of Circular No. 26/26/2017-GST;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 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39, 47, 49 (including sub-sections (1), (3), (4) and (7)), 50 and 126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39/13/2018-GST dated 03.04.2018 (IT Grievance Redressal Mechanism); Circular No. 26/26/2017-GST dated 29.12.2017 (rectification of GSTR-3B errors in subsequent periods).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Maansarovar Motors Pvt. Ltd. v. Assistant Commissioner, Madras HC, W.P. No. 4468 of 2020, 29.09.2020 (no interest where the amount lay deposited in the electronic cash ledger); contra: RSB Transmissions (India) Ltd. v. Union of India, Jharkhand HC, 29.08.2022. The High Court line on portal failures — to be cited per jurisdiction.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Challan and bank statement evidencing the cash deposit within the due date; electronic cash and credit ledger extracts.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Screenshots / grievance ticket evidencing the portal failure.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2026-06-13T08:26:23.576Z</dcterms:created>
  <dcterms:modified xsi:type="dcterms:W3CDTF">2026-06-13T08:26:23.576Z</dcterms:modified>
</cp:coreProperties>
</file>

<file path=docProps/custom.xml><?xml version="1.0" encoding="utf-8"?>
<Properties xmlns="http://schemas.openxmlformats.org/officeDocument/2006/custom-properties" xmlns:vt="http://schemas.openxmlformats.org/officeDocument/2006/docPropsVTypes"/>
</file>