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 objection to the communication received from the Department demanding a deposit / raising a discrepancy without reference to any section or rule of the Act and without a Document Identification Number, the communication having no legal force — communication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Communication received by e-mail dated [____] / by physical mode dated [____] (the “Impugned Communication”); amount Rs.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and case authority is marked [VERIFY] for a final check before filing. The facts (a communication demanding a deposit / raising a discrepancy, citing no section, no rule and bearing no DIN) are reproduced from the source, as is the reliance on Brindavan Beverages.</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has received a communication from the Department demanding a deposit / raising a discrepancy of Rs. [____]. The communication cites </w:t>
      </w:r>
      <w:r>
        <w:rPr>
          <w:rFonts w:ascii="Times New Roman" w:cs="Times New Roman" w:eastAsia="Times New Roman" w:hAnsi="Times New Roman"/>
          <w:b/>
          <w:bCs/>
          <w:i w:val="false"/>
          <w:iCs w:val="false"/>
          <w:caps w:val="false"/>
          <w:sz w:val="24"/>
          <w:szCs w:val="24"/>
        </w:rPr>
        <w:t xml:space="preserve">no section, no rule and bears no Document Identification Number</w:t>
      </w:r>
      <w:r>
        <w:rPr>
          <w:rFonts w:ascii="Times New Roman" w:cs="Times New Roman" w:eastAsia="Times New Roman" w:hAnsi="Times New Roman"/>
          <w:b w:val="false"/>
          <w:bCs w:val="false"/>
          <w:i w:val="false"/>
          <w:iCs w:val="false"/>
          <w:caps w:val="false"/>
          <w:sz w:val="24"/>
          <w:szCs w:val="24"/>
        </w:rPr>
        <w:t xml:space="preserve">. The Act prescribes a complete code for assessment (Chapter XII, Sections 59–64) and for demands and recovery (Chapter XV, Sections 73–84, with Rule 142 and Forms GST DRC-01A / DRC-01). A communication issued outside that code has no legal force, creates no obligation to deposit, and — being without a DIN — is, by the Board’s own circulars, invalid and deemed never to have been issued. The Company records its objection and invites the Department, if it has material, to proceed strictly in the manner the statute prescribes.</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communication. </w:t>
      </w:r>
      <w:r>
        <w:rPr>
          <w:rFonts w:ascii="Times New Roman" w:cs="Times New Roman" w:eastAsia="Times New Roman" w:hAnsi="Times New Roman"/>
          <w:b w:val="false"/>
          <w:bCs w:val="false"/>
          <w:i w:val="false"/>
          <w:iCs w:val="false"/>
          <w:caps w:val="false"/>
          <w:sz w:val="24"/>
          <w:szCs w:val="24"/>
        </w:rPr>
        <w:t xml:space="preserve">On [____] (by e-mail) / [____] (by physical mode), the Company received the Impugned Communication demanding a deposit / raising a discrepancy of Rs. [____]. It cites no provision of the Act or the Rules, is not in any prescribed form, and bears no DIN.</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A demand can be raised only through the statutory machinery; an unanchored communication has no legal force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Act provides a complete code: assessment under Chapter XII (Sections 59 to 64), and the determination and recovery of amounts under Chapter XV (Sections 73 to 84), operationalised by Rule 142 — an intimation in Form GST DRC-01A, a notice in Form GST DRC-01, a reply, a hearing and a reasoned order. A communication that travels outside this machinery — citing no section, no rule and no form — is not a notice known to law; it creates no liability and no obligation to deposit or to respond on the merits. Any deposit extracted on its strength would be a collection without authority of law, contrary to Article 265.</w:t>
      </w:r>
    </w:p>
    <w:p>
      <w:pPr>
        <w:pStyle w:val="Heading2"/>
        <w:spacing w:after="140" w:before="200"/>
      </w:pPr>
      <w:r>
        <w:rPr>
          <w:rFonts w:ascii="Times New Roman" w:cs="Times New Roman" w:eastAsia="Times New Roman" w:hAnsi="Times New Roman"/>
          <w:b/>
          <w:bCs/>
          <w:sz w:val="24"/>
          <w:szCs w:val="24"/>
        </w:rPr>
        <w:t xml:space="preserve">Submission 2: Without a DIN, the communication is invalid and deemed never issued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Circular No. 122/41/2019-GST dated 05.11.2019 [VERIFY] and Circular No. 128/47/2019-GST dated 23.12.2019 [VERIFY], the Board made the quoting of a DIN mandatory on communications to taxpayers and directed that a communication without a DIN (and outside the narrow exceptions) ‘shall be treated as invalid and shall be deemed to have never been issued’. The Hon’ble Supreme Court has endorsed the salutary object of the DIN regime in </w:t>
      </w:r>
      <w:r>
        <w:rPr>
          <w:rFonts w:ascii="Times New Roman" w:cs="Times New Roman" w:eastAsia="Times New Roman" w:hAnsi="Times New Roman"/>
          <w:b w:val="false"/>
          <w:bCs w:val="false"/>
          <w:i/>
          <w:iCs/>
          <w:caps w:val="false"/>
          <w:sz w:val="24"/>
          <w:szCs w:val="24"/>
        </w:rPr>
        <w:t xml:space="preserve">Pradeep Goyal v. Union of India</w:t>
      </w:r>
      <w:r>
        <w:rPr>
          <w:rFonts w:ascii="Times New Roman" w:cs="Times New Roman" w:eastAsia="Times New Roman" w:hAnsi="Times New Roman"/>
          <w:b w:val="false"/>
          <w:bCs w:val="false"/>
          <w:i w:val="false"/>
          <w:iCs w:val="false"/>
          <w:caps w:val="false"/>
          <w:sz w:val="24"/>
          <w:szCs w:val="24"/>
        </w:rPr>
        <w:t xml:space="preserve">, W.P.(C) No. 320 of 2022, decided 18.07.2022 / 2022 LiveLaw (SC) 654. The Impugned Communication bears no DIN; it is invalid and non-est on the Board’s own mandate.</w:t>
      </w:r>
    </w:p>
    <w:p>
      <w:pPr>
        <w:pStyle w:val="Heading2"/>
        <w:spacing w:after="140" w:before="200"/>
      </w:pPr>
      <w:r>
        <w:rPr>
          <w:rFonts w:ascii="Times New Roman" w:cs="Times New Roman" w:eastAsia="Times New Roman" w:hAnsi="Times New Roman"/>
          <w:b/>
          <w:bCs/>
          <w:sz w:val="24"/>
          <w:szCs w:val="24"/>
        </w:rPr>
        <w:t xml:space="preserve">Submission 3: The communication is, in any event, vague — Brindavan Beverages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Even treated as a notice, the communication sets out no allegation with particulars, no provision contravened, and no basis for the figure demanded. As held in </w:t>
      </w:r>
      <w:r>
        <w:rPr>
          <w:rFonts w:ascii="Times New Roman" w:cs="Times New Roman" w:eastAsia="Times New Roman" w:hAnsi="Times New Roman"/>
          <w:b w:val="false"/>
          <w:bCs w:val="false"/>
          <w:i/>
          <w:iCs/>
          <w:caps w:val="false"/>
          <w:sz w:val="24"/>
          <w:szCs w:val="24"/>
        </w:rPr>
        <w:t xml:space="preserve">Commissioner of Central Excise, Bangalore v. Brindavan Beverages (P) Ltd.</w:t>
      </w:r>
      <w:r>
        <w:rPr>
          <w:rFonts w:ascii="Times New Roman" w:cs="Times New Roman" w:eastAsia="Times New Roman" w:hAnsi="Times New Roman"/>
          <w:b w:val="false"/>
          <w:bCs w:val="false"/>
          <w:i w:val="false"/>
          <w:iCs w:val="false"/>
          <w:caps w:val="false"/>
          <w:sz w:val="24"/>
          <w:szCs w:val="24"/>
        </w:rPr>
        <w:t xml:space="preserve">, (2007) 5 SCC 388 / MANU/SC/2645/2007 [VERIFY], the show cause notice is the foundation of the case, and vague, unparticularised allegations deny the noticee a proper opportunity and vitiate the proceeding.</w:t>
      </w:r>
    </w:p>
    <w:p>
      <w:pPr>
        <w:pStyle w:val="Heading2"/>
        <w:spacing w:after="140" w:before="200"/>
      </w:pPr>
      <w:r>
        <w:rPr>
          <w:rFonts w:ascii="Times New Roman" w:cs="Times New Roman" w:eastAsia="Times New Roman" w:hAnsi="Times New Roman"/>
          <w:b/>
          <w:bCs/>
          <w:sz w:val="24"/>
          <w:szCs w:val="24"/>
        </w:rPr>
        <w:t xml:space="preserve">Submission 4: Without prejudice — the Company will respond to a valid notice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above, if the Department has material warranting a proceeding, the Company invites it to issue an intimation in Form GST DRC-01A / a notice in Form GST DRC-01 in accordance with Rule 142, bearing a DIN and setting out the allegations with particulars. The Company will respond on the merits and seeks a personal hearing. Until then, the Company is not obliged to make any deposit, and any time-limit must be reckoned only from a valid notice.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WITHDRAW the Impugned Communication, the same being outside the statutory machinery, without a DIN, and of no legal force;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deposit can be demanded or made except pursuant to a valid proceeding under the Act;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ISSUE, if the Department has material, a proper intimation / notice under Rule 142 bearing a DIN and full particulars, to which the Company will respond;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Article 265 of the Constitution of India; Chapters XII (Sections 59–64) and XV (Sections 73–84) of the CGST Act, 2017; Rule 142 of the CGST Rules, 2017 (Forms GST DRC-01A and DRC-01); Section 168(1).</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122/41/2019-GST dated 05.11.2019; Circular No. 128/47/2019-GST dated 23.12.2019; Pradeep Goyal v. Union of India, W.P.(C) No. 320 of 2022, 18.07.2022 / 2022 LiveLaw (SC) 654.</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CCE, Bangalore v. Brindavan Beverages (P) Ltd., (2007) 5 SCC 388 / MANU/SC/2645/2007.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Copy of the Impugned Communication (e-mail and / or physical), evidencing the absence of any section, rule, form and DIN.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2026-06-13T08:26:23.743Z</dcterms:created>
  <dcterms:modified xsi:type="dcterms:W3CDTF">2026-06-13T08:26:23.743Z</dcterms:modified>
</cp:coreProperties>
</file>

<file path=docProps/custom.xml><?xml version="1.0" encoding="utf-8"?>
<Properties xmlns="http://schemas.openxmlformats.org/officeDocument/2006/custom-properties" xmlns:vt="http://schemas.openxmlformats.org/officeDocument/2006/docPropsVTypes"/>
</file>