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proposing reversal of input tax credit alleged to be in excess of the limit admissible under Rule 36(4) of the CGST Rules, 2017, with a reconciliation demonstrating compliance and, without prejudice, submissions on the scope and operation of the rule — Letter No. [____] dated [____]; Tax Period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notification and circular is marked [VERIFY] for a final check before filing. The dual structure of the source — compliance on reconciliation, and without-prejudice submissions where an excess is alleged — is preserved. The reconciliation tables of the source are to be completed at Annexure 1.</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proposes reversal of input tax credit said to exceed the limit under Rule 36(4) by reference to Form GSTR-2A. The proposal fails on the Company’s reconciliation and on the law. GSTR-2A is a </w:t>
      </w:r>
      <w:r>
        <w:rPr>
          <w:rFonts w:ascii="Times New Roman" w:cs="Times New Roman" w:eastAsia="Times New Roman" w:hAnsi="Times New Roman"/>
          <w:b/>
          <w:bCs/>
          <w:i w:val="false"/>
          <w:iCs w:val="false"/>
          <w:caps w:val="false"/>
          <w:sz w:val="24"/>
          <w:szCs w:val="24"/>
        </w:rPr>
        <w:t xml:space="preserve">dynamic</w:t>
      </w:r>
      <w:r>
        <w:rPr>
          <w:rFonts w:ascii="Times New Roman" w:cs="Times New Roman" w:eastAsia="Times New Roman" w:hAnsi="Times New Roman"/>
          <w:b w:val="false"/>
          <w:bCs w:val="false"/>
          <w:i w:val="false"/>
          <w:iCs w:val="false"/>
          <w:caps w:val="false"/>
          <w:sz w:val="24"/>
          <w:szCs w:val="24"/>
        </w:rPr>
        <w:t xml:space="preserve"> statement; the Board’s own circular requires the Rule 36(4) computation to be made on the supplier-uploaded invoices as on the due date of furnishing GSTR-1, consignment of which the notice takes no account, and the notice furnishes no bifurcation of its figures. On the reconciliation at Annexure 1, the credit availed was within the limit as it stood at the material time. Without prejudice, for periods before 9 October 2019 no such restriction existed at all; for February to August 2020 the rule applied cumulatively; and any residual difference is addressable under the Board’s certification circulars rather than by mechanical reversal.</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availed input tax credit for the tax period [____] on valid tax invoices, after receipt of the supplies and payment to the suppliers including tax.</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notice. </w:t>
      </w:r>
      <w:r>
        <w:rPr>
          <w:rFonts w:ascii="Times New Roman" w:cs="Times New Roman" w:eastAsia="Times New Roman" w:hAnsi="Times New Roman"/>
          <w:b w:val="false"/>
          <w:bCs w:val="false"/>
          <w:i w:val="false"/>
          <w:iCs w:val="false"/>
          <w:caps w:val="false"/>
          <w:sz w:val="24"/>
          <w:szCs w:val="24"/>
        </w:rPr>
        <w:t xml:space="preserve">By the Impugned Notice, the Department alleges that the credit availed exceeds the percentage of the eligible credit reflected in GSTR-2A permitted by Rule 36(4), without furnishing the bifurcation or the date as on which the GSTR-2A figures were drawn.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reconciliation. </w:t>
      </w:r>
      <w:r>
        <w:rPr>
          <w:rFonts w:ascii="Times New Roman" w:cs="Times New Roman" w:eastAsia="Times New Roman" w:hAnsi="Times New Roman"/>
          <w:b w:val="false"/>
          <w:bCs w:val="false"/>
          <w:i w:val="false"/>
          <w:iCs w:val="false"/>
          <w:caps w:val="false"/>
          <w:sz w:val="24"/>
          <w:szCs w:val="24"/>
        </w:rPr>
        <w:t xml:space="preserve">Since the as-on-date GSTR-2A balances for the past period cannot now be extracted from the portal, the Company has reconstructed the position as on the date of filing of the relevant GSTR-3B, at Annexure 1, demonstrating that the credit availed was within the limit prescribed at the material time.</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On the reconciliation, the credit availed is within the Rule 36(4) limit — the computation must follow Circular No. 123/42/2019-GST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36(4) was inserted with effect from 9 October 2019 by Notification No. 49/2019-Central Tax [VERIFY]. The Board’s Circular No. 123/42/2019-GST dated 11.11.2019 [VERIFY] clarified that: the restriction applies only to invoices required to be uploaded by suppliers under Section 37(1); the calculation is to be based on the eligible credit from documents uploaded by the suppliers </w:t>
      </w:r>
      <w:r>
        <w:rPr>
          <w:rFonts w:ascii="Times New Roman" w:cs="Times New Roman" w:eastAsia="Times New Roman" w:hAnsi="Times New Roman"/>
          <w:b w:val="false"/>
          <w:bCs w:val="false"/>
          <w:i/>
          <w:iCs/>
          <w:caps w:val="false"/>
          <w:sz w:val="24"/>
          <w:szCs w:val="24"/>
        </w:rPr>
        <w:t xml:space="preserve">as on the due date of filing of Form GSTR-1</w:t>
      </w:r>
      <w:r>
        <w:rPr>
          <w:rFonts w:ascii="Times New Roman" w:cs="Times New Roman" w:eastAsia="Times New Roman" w:hAnsi="Times New Roman"/>
          <w:b w:val="false"/>
          <w:bCs w:val="false"/>
          <w:i w:val="false"/>
          <w:iCs w:val="false"/>
          <w:caps w:val="false"/>
          <w:sz w:val="24"/>
          <w:szCs w:val="24"/>
        </w:rPr>
        <w:t xml:space="preserve"> for the period; GSTR-2A being dynamic, the availment is on self-assessment; and ineligible credit is excluded from the base. The Impugned Notice discloses neither its cut-off date nor its bifurcation. On the Company’s reconciliation at Annexure 1 — prepared on the circular’s methodology — the credit availed for the period is within the limit as it stood (20% / 10% / 5%, per Notifications No. 49/2019, 75/2019 and 94/2020-Central Tax [VERIFY]). The proposal therefore fails on the facts.</w:t>
      </w:r>
    </w:p>
    <w:p>
      <w:pPr>
        <w:pStyle w:val="Heading2"/>
        <w:spacing w:after="140" w:before="200"/>
      </w:pPr>
      <w:r>
        <w:rPr>
          <w:rFonts w:ascii="Times New Roman" w:cs="Times New Roman" w:eastAsia="Times New Roman" w:hAnsi="Times New Roman"/>
          <w:b/>
          <w:bCs/>
          <w:sz w:val="24"/>
          <w:szCs w:val="24"/>
        </w:rPr>
        <w:t xml:space="preserve">Ground 2: For periods before 9 October 2019, no Rule 36(4) restriction existed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To the extent the Impugned Notice travels to any period before 9 October 2019, no restriction by reference to supplier-uploaded details existed in law: Rule 36(4) operates prospectively from its insertion, and the Press Release dated 18.10.2018 [VERIFY] had confirmed that GSTR-2A is for facilitation and does not impact the ability to avail credit on self-assessment. Any reversal for the earlier period is without legal foundation.</w:t>
      </w:r>
    </w:p>
    <w:p>
      <w:pPr>
        <w:pStyle w:val="Heading2"/>
        <w:spacing w:after="140" w:before="200"/>
      </w:pPr>
      <w:r>
        <w:rPr>
          <w:rFonts w:ascii="Times New Roman" w:cs="Times New Roman" w:eastAsia="Times New Roman" w:hAnsi="Times New Roman"/>
          <w:b/>
          <w:bCs/>
          <w:sz w:val="24"/>
          <w:szCs w:val="24"/>
        </w:rPr>
        <w:t xml:space="preserve">Ground 3: For February to August 2020, the rule applied cumulatively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By Notification No. 30/2020-Central Tax [VERIFY] read with Circular No. 142/12/2020-GST [VERIFY], the Rule 36(4) condition for February to August 2020 was to be applied </w:t>
      </w:r>
      <w:r>
        <w:rPr>
          <w:rFonts w:ascii="Times New Roman" w:cs="Times New Roman" w:eastAsia="Times New Roman" w:hAnsi="Times New Roman"/>
          <w:b w:val="false"/>
          <w:bCs w:val="false"/>
          <w:i/>
          <w:iCs/>
          <w:caps w:val="false"/>
          <w:sz w:val="24"/>
          <w:szCs w:val="24"/>
        </w:rPr>
        <w:t xml:space="preserve">cumulatively</w:t>
      </w:r>
      <w:r>
        <w:rPr>
          <w:rFonts w:ascii="Times New Roman" w:cs="Times New Roman" w:eastAsia="Times New Roman" w:hAnsi="Times New Roman"/>
          <w:b w:val="false"/>
          <w:bCs w:val="false"/>
          <w:i w:val="false"/>
          <w:iCs w:val="false"/>
          <w:caps w:val="false"/>
          <w:sz w:val="24"/>
          <w:szCs w:val="24"/>
        </w:rPr>
        <w:t xml:space="preserve"> for the period, with the adjustment made in the GSTR-3B for September 2020 — a relaxation granted for the pandemic. A month-wise application of the limit to those months, as the Impugned Notice appears to make, is contrary to the notification and the circular.</w:t>
      </w:r>
    </w:p>
    <w:p>
      <w:pPr>
        <w:pStyle w:val="Heading2"/>
        <w:spacing w:after="140" w:before="200"/>
      </w:pPr>
      <w:r>
        <w:rPr>
          <w:rFonts w:ascii="Times New Roman" w:cs="Times New Roman" w:eastAsia="Times New Roman" w:hAnsi="Times New Roman"/>
          <w:b/>
          <w:bCs/>
          <w:sz w:val="24"/>
          <w:szCs w:val="24"/>
        </w:rPr>
        <w:t xml:space="preserve">Ground 4: Any residual difference is addressable under the certification circulars; the Company’s bona fides are complete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If, after the reconciliation, any supplier-side gap remains, the Board’s Circular No. 183/15/2022-GST dated 27.12.2022 and Circular No. 193/05/2023-GST dated 17.07.2023 [VERIFY] prescribe the verification mechanism — the supplier’s certificate (difference up to Rs. 5 lakh per supplier) or a CA/CMA certificate with UDIN (above Rs. 5 lakh) certifying that the supplies were made and the tax paid. The Company holds the full documentary trail (invoices, receipt, payment through banking channels) and is ready to furnish the prescribed certificates. The Company also reserves its challenge to the validity of Rule 36(4) for the period prior to the insertion of Section 16(2)(aa) (with effect from 01.01.2022 [VERIFY]), the question being pending in writ proceedings.</w:t>
      </w:r>
    </w:p>
    <w:p>
      <w:pPr>
        <w:pStyle w:val="Heading2"/>
        <w:spacing w:after="140" w:before="200"/>
      </w:pPr>
      <w:r>
        <w:rPr>
          <w:rFonts w:ascii="Times New Roman" w:cs="Times New Roman" w:eastAsia="Times New Roman" w:hAnsi="Times New Roman"/>
          <w:b/>
          <w:bCs/>
          <w:sz w:val="24"/>
          <w:szCs w:val="24"/>
        </w:rPr>
        <w:t xml:space="preserve">Ground 5 (without prejudice): No interest on unutilised credit; no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extent any disputed credit was not utilised, no interest arises under Section 50(3) read with Rule 88B(3) [VERIFY]; and no penalty is exigible for a self-assessed availment made bona fide on a dynamic statement, with the full documentary trail in place.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ACCEPT the reconciliation at Annexure 1, prepared on the methodology of Circular No. 123/42/2019-GST, and HOLD the credit within the Rule 36(4) limit as it stood;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Rule 36(4) restriction applies to periods before 9 October 2019, and that February to August 2020 are governed by the cumulative mechanism;</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PERMIT substantiation of any residual difference under Circulars No. 183/15/2022-GST and 193/05/2023-GST;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proposed reversal, interest and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 37(1), 41, 50 of the CGST Act, 2017; Rules 36(4) and 88B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Notification No. 49/2019-Central Tax dated 09.10.2019; Notification No. 75/2019-Central Tax; Notification No. 94/2020-Central Tax dated 22.12.2020; Notification No. 30/2020-Central Tax; Notification No. 39/2021-Central Tax (Section 16(2)(aa) w.e.f. 01.01.2022).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123/42/2019-GST dated 11.11.2019; Circular No. 142/12/2020-GST; Circular No. 183/15/2022-GST dated 27.12.2022; Circular No. 193/05/2023-GST dated 17.07.2023; Press Release dated 18.10.2018.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Reconciliation of the credit availed with the supplier-uploaded details as on the relevant cut-off (Tables 1 and 2 of the working).</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Sample invoices, receipt and payment evidence; supplier certificates / CA-CMA certificate where applicable.</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2026-06-13T08:30:43.160Z</dcterms:created>
  <dcterms:modified xsi:type="dcterms:W3CDTF">2026-06-13T08:30:43.160Z</dcterms:modified>
</cp:coreProperties>
</file>

<file path=docProps/custom.xml><?xml version="1.0" encoding="utf-8"?>
<Properties xmlns="http://schemas.openxmlformats.org/officeDocument/2006/custom-properties" xmlns:vt="http://schemas.openxmlformats.org/officeDocument/2006/docPropsVTypes"/>
</file>