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that the Show Cause Notice in Form GST DRC-01 under Section 73/74 has been served only by e-mail / post / physical handover and has not been uploaded electronically on the common portal as Rule 142(1) mandates, the service being invalid — SCN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under Section 73/74, dated [____], received by [e-mail / post / physical handover]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case authority relied on in the source (Ram Prasad Sharma, MP HC) is preserved and marked [VERIFY]. The fact of service only by e-mail / post / physical mode, without uploading on the portal,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in Form GST DRC-01 has been served on the Company only by e-mail / post / physical handover; it has </w:t>
      </w:r>
      <w:r>
        <w:rPr>
          <w:rFonts w:ascii="Times New Roman" w:cs="Times New Roman" w:eastAsia="Times New Roman" w:hAnsi="Times New Roman"/>
          <w:b/>
          <w:bCs/>
          <w:i w:val="false"/>
          <w:iCs w:val="false"/>
          <w:caps w:val="false"/>
          <w:sz w:val="24"/>
          <w:szCs w:val="24"/>
        </w:rPr>
        <w:t xml:space="preserve">not been uploaded electronically on the common portal</w:t>
      </w:r>
      <w:r>
        <w:rPr>
          <w:rFonts w:ascii="Times New Roman" w:cs="Times New Roman" w:eastAsia="Times New Roman" w:hAnsi="Times New Roman"/>
          <w:b w:val="false"/>
          <w:bCs w:val="false"/>
          <w:i w:val="false"/>
          <w:iCs w:val="false"/>
          <w:caps w:val="false"/>
          <w:sz w:val="24"/>
          <w:szCs w:val="24"/>
        </w:rPr>
        <w:t xml:space="preserve">. Rule 142(1) is specific and mandatory: the notice under Section 73/74 is to be served along with a summary thereof </w:t>
      </w:r>
      <w:r>
        <w:rPr>
          <w:rFonts w:ascii="Times New Roman" w:cs="Times New Roman" w:eastAsia="Times New Roman" w:hAnsi="Times New Roman"/>
          <w:b w:val="false"/>
          <w:bCs w:val="false"/>
          <w:i/>
          <w:iCs/>
          <w:caps w:val="false"/>
          <w:sz w:val="24"/>
          <w:szCs w:val="24"/>
        </w:rPr>
        <w:t xml:space="preserve">electronically</w:t>
      </w:r>
      <w:r>
        <w:rPr>
          <w:rFonts w:ascii="Times New Roman" w:cs="Times New Roman" w:eastAsia="Times New Roman" w:hAnsi="Times New Roman"/>
          <w:b w:val="false"/>
          <w:bCs w:val="false"/>
          <w:i w:val="false"/>
          <w:iCs w:val="false"/>
          <w:caps w:val="false"/>
          <w:sz w:val="24"/>
          <w:szCs w:val="24"/>
        </w:rPr>
        <w:t xml:space="preserve"> in Form GST DRC-01 — that is, by uploading on the common portal. The specific, electronic mode prescribed by Rule 142(1) governs over the general modes of service in Section 169, and non-compliance renders the service invalid: the High Court has quashed a notice not uploaded on the portal. The Company objects to the service, reserves its reply on merits, and submits that no period of limitation for reply runs until valid service is effected.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 regularly accesses the common portal for all its compliances.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service. </w:t>
      </w:r>
      <w:r>
        <w:rPr>
          <w:rFonts w:ascii="Times New Roman" w:cs="Times New Roman" w:eastAsia="Times New Roman" w:hAnsi="Times New Roman"/>
          <w:b w:val="false"/>
          <w:bCs w:val="false"/>
          <w:i w:val="false"/>
          <w:iCs w:val="false"/>
          <w:caps w:val="false"/>
          <w:sz w:val="24"/>
          <w:szCs w:val="24"/>
        </w:rPr>
        <w:t xml:space="preserve">The Impugned SCN dated [____] was received by [e-mail / post / physical handover] on [____]. On verification, no notice or summary in Form GST DRC-01 has been uploaded against the Company’s GSTIN on the common portal — neither under ‘Notices and Orders’ nor under ‘Additional Notices and Orders’ (screenshots at Annexure 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Rule 142(1) mandates electronic service of the DRC-01 summary on the portal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142(1)(a) provides that the proper officer ‘shall serve, along with the notice issued under section 52 or section 73 or section 74 … a summary thereof electronically in FORM GST DRC-01’. The word ‘shall’, coupled with the prescribed electronic form, makes the uploading of the DRC-01 summary on the common portal a mandatory incident of valid service. Service by e-mail, post or hand, without the electronic DRC-01 on the portal, does not satisfy the rule.</w:t>
      </w:r>
    </w:p>
    <w:p>
      <w:pPr>
        <w:pStyle w:val="Heading2"/>
        <w:spacing w:after="140" w:before="200"/>
      </w:pPr>
      <w:r>
        <w:rPr>
          <w:rFonts w:ascii="Times New Roman" w:cs="Times New Roman" w:eastAsia="Times New Roman" w:hAnsi="Times New Roman"/>
          <w:b/>
          <w:bCs/>
          <w:sz w:val="24"/>
          <w:szCs w:val="24"/>
        </w:rPr>
        <w:t xml:space="preserve">Ground 2: The specific electronic mode in Rule 142(1) governs over the general modes in Section 169</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169 lists the general modes of service of notices under the Act. Rule 142(1), however, prescribes a </w:t>
      </w:r>
      <w:r>
        <w:rPr>
          <w:rFonts w:ascii="Times New Roman" w:cs="Times New Roman" w:eastAsia="Times New Roman" w:hAnsi="Times New Roman"/>
          <w:b w:val="false"/>
          <w:bCs w:val="false"/>
          <w:i/>
          <w:iCs/>
          <w:caps w:val="false"/>
          <w:sz w:val="24"/>
          <w:szCs w:val="24"/>
        </w:rPr>
        <w:t xml:space="preserve">specific</w:t>
      </w:r>
      <w:r>
        <w:rPr>
          <w:rFonts w:ascii="Times New Roman" w:cs="Times New Roman" w:eastAsia="Times New Roman" w:hAnsi="Times New Roman"/>
          <w:b w:val="false"/>
          <w:bCs w:val="false"/>
          <w:i w:val="false"/>
          <w:iCs w:val="false"/>
          <w:caps w:val="false"/>
          <w:sz w:val="24"/>
          <w:szCs w:val="24"/>
        </w:rPr>
        <w:t xml:space="preserve"> and additional requirement for Section 73/74 notices — the electronic DRC-01 summary on the portal — and on first principles the specific provision governs the general. The general modes cannot be used to bypass the specific electronic mandate; otherwise the words ‘electronically in FORM GST DRC-01’ would be rendered otiose. The portal upload also serves a substantive purpose: it fixes the record, enables the online reply in Form GST DRC-06, and operates the portal’s timelines.</w:t>
      </w:r>
    </w:p>
    <w:p>
      <w:pPr>
        <w:pStyle w:val="Heading2"/>
        <w:spacing w:after="140" w:before="200"/>
      </w:pPr>
      <w:r>
        <w:rPr>
          <w:rFonts w:ascii="Times New Roman" w:cs="Times New Roman" w:eastAsia="Times New Roman" w:hAnsi="Times New Roman"/>
          <w:b/>
          <w:bCs/>
          <w:sz w:val="24"/>
          <w:szCs w:val="24"/>
        </w:rPr>
        <w:t xml:space="preserve">Ground 3: A notice not uploaded on the portal has been quashed — Ram Prasad Sharma</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Hon’ble Madhya Pradesh High Court, in </w:t>
      </w:r>
      <w:r>
        <w:rPr>
          <w:rFonts w:ascii="Times New Roman" w:cs="Times New Roman" w:eastAsia="Times New Roman" w:hAnsi="Times New Roman"/>
          <w:b w:val="false"/>
          <w:bCs w:val="false"/>
          <w:i/>
          <w:iCs/>
          <w:caps w:val="false"/>
          <w:sz w:val="24"/>
          <w:szCs w:val="24"/>
        </w:rPr>
        <w:t xml:space="preserve">Ram Prasad Sharma v. Chief Commissioner</w:t>
      </w:r>
      <w:r>
        <w:rPr>
          <w:rFonts w:ascii="Times New Roman" w:cs="Times New Roman" w:eastAsia="Times New Roman" w:hAnsi="Times New Roman"/>
          <w:b w:val="false"/>
          <w:bCs w:val="false"/>
          <w:i w:val="false"/>
          <w:iCs w:val="false"/>
          <w:caps w:val="false"/>
          <w:sz w:val="24"/>
          <w:szCs w:val="24"/>
        </w:rPr>
        <w:t xml:space="preserve">, W.P. No. 16119 of 2020, dated 19.11.2020 [VERIFY], quashed the demand where the foundational notice was not uploaded on the portal as the rules require, the extract relied upon being preserved in the Company’s record. The Madras High Court has likewise treated portal placement that does not come to the taxpayer’s notice as defective — in East Coast Constructions and Industries Ltd. v. Assistant Commissioner (ST), W.P. No. 26457 of 2023, 11.09.2023 / 2023 (10) TMI 146, the Court directed the Revenue to address the grievance of notices hosted only under the ‘View Additional Notices and Orders’ tab. The Company is conscious that a contrary line treats portal upload as valid service under Section 169; the present case is stronger than both situations — here there was no portal upload at all. The Impugned SCN, never uploaded, is not validly served, and no proceeding can be founded on it as served.</w:t>
      </w:r>
    </w:p>
    <w:p>
      <w:pPr>
        <w:pStyle w:val="Heading2"/>
        <w:spacing w:after="140" w:before="200"/>
      </w:pPr>
      <w:r>
        <w:rPr>
          <w:rFonts w:ascii="Times New Roman" w:cs="Times New Roman" w:eastAsia="Times New Roman" w:hAnsi="Times New Roman"/>
          <w:b/>
          <w:bCs/>
          <w:sz w:val="24"/>
          <w:szCs w:val="24"/>
        </w:rPr>
        <w:t xml:space="preserve">Ground 4: Consequences and reservation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Until the notice and the DRC-01 summary are uploaded on the portal, the service is incomplete: the period for the Company’s reply does not run, and any order passed without valid service and the online reply facility would violate natural justice and Section 75(4). Without prejudice, the Company reserves its full reply on the merits, to be filed in Form GST DRC-06 upon valid service.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service of the Impugned SCN, without the electronic upload of Form GST DRC-01 on the common portal, does not comply with Rule 142(1) and is invalid;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EFFECT valid service by uploading the notice and the DRC-01 summary on the portal, the period for reply to run only therefrom;</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no further step in the proceeding until valid service and the opportunity to reply in Form GST DRC-06;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 74, 75(4) and 169 of the CGST Act, 2017; Rule 142(1) of the CGST Rules, 2017 (Forms GST DRC-01 and DRC-06).</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Ram Prasad Sharma v. Chief Commissioner, Madhya Pradesh HC, W.P. No. 16119 of 2020, dated 19.11.2020; East Coast Constructions and Industries Ltd. v. Assistant Commissioner (ST), Madras HC, W.P. No. 26457 of 2023, 11.09.2023 / 2023 (10) TMI 146.</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Portal screenshots (‘Notices and Orders’ and ‘Additional Notices and Orders’) showing no DRC-01 uploaded against the Company’s GSTIN.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 as received by e-mail / post.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2026-06-13T08:30:43.636Z</dcterms:created>
  <dcterms:modified xsi:type="dcterms:W3CDTF">2026-06-13T08:30:43.636Z</dcterms:modified>
</cp:coreProperties>
</file>

<file path=docProps/custom.xml><?xml version="1.0" encoding="utf-8"?>
<Properties xmlns="http://schemas.openxmlformats.org/officeDocument/2006/custom-properties" xmlns:vt="http://schemas.openxmlformats.org/officeDocument/2006/docPropsVTypes"/>
</file>