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demanding interest at 24% under Section 50(3) of the CGST Act, 2017, the 24% rate being inapplicable in law — the original Section 50(3) being confined to the inoperative Sections 42(10)/43(10), the substituted Section 50(3) (retrospective from 01.07.2017) confining interest to credit wrongly availed and utilised, and the notified rate itself standing at 18% retrospectively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50(3), No. [____] dated [____] (the “Impugned SCN”); interest demanded Rs. [____] at 24%.</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statutory extracts (original Section 50 as enacted, with sub-section (3) tied to Sections 42(10) and 43(10)) reproduced in the source are preserved in substance. The rate-notification amendment is marked [VERIFY].</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demands interest at </w:t>
      </w:r>
      <w:r>
        <w:rPr>
          <w:rFonts w:ascii="Times New Roman" w:cs="Times New Roman" w:eastAsia="Times New Roman" w:hAnsi="Times New Roman"/>
          <w:b/>
          <w:bCs/>
          <w:i w:val="false"/>
          <w:iCs w:val="false"/>
          <w:caps w:val="false"/>
          <w:sz w:val="24"/>
          <w:szCs w:val="24"/>
        </w:rPr>
        <w:t xml:space="preserve">24%</w:t>
      </w:r>
      <w:r>
        <w:rPr>
          <w:rFonts w:ascii="Times New Roman" w:cs="Times New Roman" w:eastAsia="Times New Roman" w:hAnsi="Times New Roman"/>
          <w:b w:val="false"/>
          <w:bCs w:val="false"/>
          <w:i w:val="false"/>
          <w:iCs w:val="false"/>
          <w:caps w:val="false"/>
          <w:sz w:val="24"/>
          <w:szCs w:val="24"/>
        </w:rPr>
        <w:t xml:space="preserve"> under Section 50(3). The demand fails at every level of the provision’s history. As </w:t>
      </w:r>
      <w:r>
        <w:rPr>
          <w:rFonts w:ascii="Times New Roman" w:cs="Times New Roman" w:eastAsia="Times New Roman" w:hAnsi="Times New Roman"/>
          <w:b/>
          <w:bCs/>
          <w:i w:val="false"/>
          <w:iCs w:val="false"/>
          <w:caps w:val="false"/>
          <w:sz w:val="24"/>
          <w:szCs w:val="24"/>
        </w:rPr>
        <w:t xml:space="preserve">originally enacted</w:t>
      </w:r>
      <w:r>
        <w:rPr>
          <w:rFonts w:ascii="Times New Roman" w:cs="Times New Roman" w:eastAsia="Times New Roman" w:hAnsi="Times New Roman"/>
          <w:b w:val="false"/>
          <w:bCs w:val="false"/>
          <w:i w:val="false"/>
          <w:iCs w:val="false"/>
          <w:caps w:val="false"/>
          <w:sz w:val="24"/>
          <w:szCs w:val="24"/>
        </w:rPr>
        <w:t xml:space="preserve">, Section 50(3) applied only to an undue or excess claim of credit under Section 42(10) or an undue reduction of output liability under Section 43(10) — the matching mechanism of Sections 42/43 that was never operationalised (Forms GSTR-2 and GSTR-3 having remained suspended); a demand under the original Section 50(3) is therefore a demand under a dead letter. As </w:t>
      </w:r>
      <w:r>
        <w:rPr>
          <w:rFonts w:ascii="Times New Roman" w:cs="Times New Roman" w:eastAsia="Times New Roman" w:hAnsi="Times New Roman"/>
          <w:b/>
          <w:bCs/>
          <w:i w:val="false"/>
          <w:iCs w:val="false"/>
          <w:caps w:val="false"/>
          <w:sz w:val="24"/>
          <w:szCs w:val="24"/>
        </w:rPr>
        <w:t xml:space="preserve">substituted</w:t>
      </w:r>
      <w:r>
        <w:rPr>
          <w:rFonts w:ascii="Times New Roman" w:cs="Times New Roman" w:eastAsia="Times New Roman" w:hAnsi="Times New Roman"/>
          <w:b w:val="false"/>
          <w:bCs w:val="false"/>
          <w:i w:val="false"/>
          <w:iCs w:val="false"/>
          <w:caps w:val="false"/>
          <w:sz w:val="24"/>
          <w:szCs w:val="24"/>
        </w:rPr>
        <w:t xml:space="preserve"> by the Finance Act, 2022 with retrospective effect from 1 July 2017, Section 50(3) levies interest only where credit has been </w:t>
      </w:r>
      <w:r>
        <w:rPr>
          <w:rFonts w:ascii="Times New Roman" w:cs="Times New Roman" w:eastAsia="Times New Roman" w:hAnsi="Times New Roman"/>
          <w:b/>
          <w:bCs/>
          <w:i w:val="false"/>
          <w:iCs w:val="false"/>
          <w:caps w:val="false"/>
          <w:sz w:val="24"/>
          <w:szCs w:val="24"/>
        </w:rPr>
        <w:t xml:space="preserve">wrongly availed and utilised</w:t>
      </w:r>
      <w:r>
        <w:rPr>
          <w:rFonts w:ascii="Times New Roman" w:cs="Times New Roman" w:eastAsia="Times New Roman" w:hAnsi="Times New Roman"/>
          <w:b w:val="false"/>
          <w:bCs w:val="false"/>
          <w:i w:val="false"/>
          <w:iCs w:val="false"/>
          <w:caps w:val="false"/>
          <w:sz w:val="24"/>
          <w:szCs w:val="24"/>
        </w:rPr>
        <w:t xml:space="preserve">, computed per Rule 88B(3) on the ledger-balance test; and the rate </w:t>
      </w:r>
      <w:r>
        <w:rPr>
          <w:rFonts w:ascii="Times New Roman" w:cs="Times New Roman" w:eastAsia="Times New Roman" w:hAnsi="Times New Roman"/>
          <w:b/>
          <w:bCs/>
          <w:i w:val="false"/>
          <w:iCs w:val="false"/>
          <w:caps w:val="false"/>
          <w:sz w:val="24"/>
          <w:szCs w:val="24"/>
        </w:rPr>
        <w:t xml:space="preserve">notified</w:t>
      </w:r>
      <w:r>
        <w:rPr>
          <w:rFonts w:ascii="Times New Roman" w:cs="Times New Roman" w:eastAsia="Times New Roman" w:hAnsi="Times New Roman"/>
          <w:b w:val="false"/>
          <w:bCs w:val="false"/>
          <w:i w:val="false"/>
          <w:iCs w:val="false"/>
          <w:caps w:val="false"/>
          <w:sz w:val="24"/>
          <w:szCs w:val="24"/>
        </w:rPr>
        <w:t xml:space="preserve"> for Section 50(3) was simultaneously fixed at </w:t>
      </w:r>
      <w:r>
        <w:rPr>
          <w:rFonts w:ascii="Times New Roman" w:cs="Times New Roman" w:eastAsia="Times New Roman" w:hAnsi="Times New Roman"/>
          <w:b/>
          <w:bCs/>
          <w:i w:val="false"/>
          <w:iCs w:val="false"/>
          <w:caps w:val="false"/>
          <w:sz w:val="24"/>
          <w:szCs w:val="24"/>
        </w:rPr>
        <w:t xml:space="preserve">18%</w:t>
      </w:r>
      <w:r>
        <w:rPr>
          <w:rFonts w:ascii="Times New Roman" w:cs="Times New Roman" w:eastAsia="Times New Roman" w:hAnsi="Times New Roman"/>
          <w:b w:val="false"/>
          <w:bCs w:val="false"/>
          <w:i w:val="false"/>
          <w:iCs w:val="false"/>
          <w:caps w:val="false"/>
          <w:sz w:val="24"/>
          <w:szCs w:val="24"/>
        </w:rPr>
        <w:t xml:space="preserve"> with the same retrospective effect — the 24% rate stands effaced from the statute book from inception. On any view, 24% is not the law.</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The Impugned SCN alleges [wrongly availed credit of Rs. ____ for period ____] and demands interest of Rs. [____] computed at 24% under Section 50(3).</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position. </w:t>
      </w:r>
      <w:r>
        <w:rPr>
          <w:rFonts w:ascii="Times New Roman" w:cs="Times New Roman" w:eastAsia="Times New Roman" w:hAnsi="Times New Roman"/>
          <w:b w:val="false"/>
          <w:bCs w:val="false"/>
          <w:i w:val="false"/>
          <w:iCs w:val="false"/>
          <w:caps w:val="false"/>
          <w:sz w:val="24"/>
          <w:szCs w:val="24"/>
        </w:rPr>
        <w:t xml:space="preserve">The balance in the Company’s electronic credit ledger never fell below the disputed amount between availment and reversal [/ the disputed credit was reversed without utilisation] — ledger extracts at Annexure 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original Section 50(3) was confined to Sections 42(10)/43(10) — provisions never brought into operation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50(3), as enacted, applied to ‘a taxable person who makes an undue or excess claim of input tax credit under sub-section (10) of section 42 or undue or excess reduction in output tax liability under sub-section (10) of section 43’. Sections 42 and 43 — the invoice-matching mechanism through Forms GSTR-2 and GSTR-3 — were never operationalised, and stand omitted by the Finance Act, 2022. No claim ‘under Section 42(10)’ was ever possible; a 24% demand resting on the original Section 50(3) rests on a provision that never had a field of operation against the Company.</w:t>
      </w:r>
    </w:p>
    <w:p>
      <w:pPr>
        <w:pStyle w:val="Heading2"/>
        <w:spacing w:after="140" w:before="200"/>
      </w:pPr>
      <w:r>
        <w:rPr>
          <w:rFonts w:ascii="Times New Roman" w:cs="Times New Roman" w:eastAsia="Times New Roman" w:hAnsi="Times New Roman"/>
          <w:b/>
          <w:bCs/>
          <w:sz w:val="24"/>
          <w:szCs w:val="24"/>
        </w:rPr>
        <w:t xml:space="preserve">Ground 2: The substituted Section 50(3) — retrospective from 01.07.2017 — requires wrongful availment AND utilisation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50(3) was substituted by Section 111 of the Finance Act, 2022, with retrospective effect from 1 July 2017 (Notification No. 09/2022-Central Tax dated 05.07.2022): interest is payable only where input tax credit has been </w:t>
      </w:r>
      <w:r>
        <w:rPr>
          <w:rFonts w:ascii="Times New Roman" w:cs="Times New Roman" w:eastAsia="Times New Roman" w:hAnsi="Times New Roman"/>
          <w:b w:val="false"/>
          <w:bCs w:val="false"/>
          <w:i/>
          <w:iCs/>
          <w:caps w:val="false"/>
          <w:sz w:val="24"/>
          <w:szCs w:val="24"/>
        </w:rPr>
        <w:t xml:space="preserve">wrongly availed and utilised</w:t>
      </w:r>
      <w:r>
        <w:rPr>
          <w:rFonts w:ascii="Times New Roman" w:cs="Times New Roman" w:eastAsia="Times New Roman" w:hAnsi="Times New Roman"/>
          <w:b w:val="false"/>
          <w:bCs w:val="false"/>
          <w:i w:val="false"/>
          <w:iCs w:val="false"/>
          <w:caps w:val="false"/>
          <w:sz w:val="24"/>
          <w:szCs w:val="24"/>
        </w:rPr>
        <w:t xml:space="preserve">, on the amount so availed and utilised. Rule 88B(3), inserted by Notification No. 14/2022-Central Tax dated 05.07.2022, supplies the machinery, and the Board’s Circular No. 192/04/2023-GST dated 17.07.2023 clarifies the ledger-balance test: credit is ‘utilised’ only when, and to the extent, the ledger balance falls below the wrongly availed amount. The Company’s ledger never fell below the disputed credit [/ the credit was reversed unutilised]; on the substituted provision — the only provision that governs, retrospectively — </w:t>
      </w:r>
      <w:r>
        <w:rPr>
          <w:rFonts w:ascii="Times New Roman" w:cs="Times New Roman" w:eastAsia="Times New Roman" w:hAnsi="Times New Roman"/>
          <w:b/>
          <w:bCs/>
          <w:i w:val="false"/>
          <w:iCs w:val="false"/>
          <w:caps w:val="false"/>
          <w:sz w:val="24"/>
          <w:szCs w:val="24"/>
        </w:rPr>
        <w:t xml:space="preserve">no interest arises at all</w:t>
      </w:r>
      <w:r>
        <w:rPr>
          <w:rFonts w:ascii="Times New Roman" w:cs="Times New Roman" w:eastAsia="Times New Roman" w:hAnsi="Times New Roman"/>
          <w:b w:val="false"/>
          <w:bCs w:val="false"/>
          <w:i w:val="false"/>
          <w:iCs w:val="false"/>
          <w:caps w:val="false"/>
          <w:sz w:val="24"/>
          <w:szCs w:val="24"/>
        </w:rPr>
        <w:t xml:space="preserve">.</w:t>
      </w:r>
    </w:p>
    <w:p>
      <w:pPr>
        <w:pStyle w:val="Heading2"/>
        <w:spacing w:after="140" w:before="200"/>
      </w:pPr>
      <w:r>
        <w:rPr>
          <w:rFonts w:ascii="Times New Roman" w:cs="Times New Roman" w:eastAsia="Times New Roman" w:hAnsi="Times New Roman"/>
          <w:b/>
          <w:bCs/>
          <w:sz w:val="24"/>
          <w:szCs w:val="24"/>
        </w:rPr>
        <w:t xml:space="preserve">Ground 3: The notified rate for Section 50(3) is 18%, retrospectively — the 24% rate is effaced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rate under Section 50(3) is that ‘notified’ by the Government. By Notification No. 09/2022-Central Tax dated 05.07.2022, the rate notification (Notification No. 13/2017-Central Tax dated 28.06.2017) was amended to prescribe </w:t>
      </w:r>
      <w:r>
        <w:rPr>
          <w:rFonts w:ascii="Times New Roman" w:cs="Times New Roman" w:eastAsia="Times New Roman" w:hAnsi="Times New Roman"/>
          <w:b/>
          <w:bCs/>
          <w:i w:val="false"/>
          <w:iCs w:val="false"/>
          <w:caps w:val="false"/>
          <w:sz w:val="24"/>
          <w:szCs w:val="24"/>
        </w:rPr>
        <w:t xml:space="preserve">18%</w:t>
      </w:r>
      <w:r>
        <w:rPr>
          <w:rFonts w:ascii="Times New Roman" w:cs="Times New Roman" w:eastAsia="Times New Roman" w:hAnsi="Times New Roman"/>
          <w:b w:val="false"/>
          <w:bCs w:val="false"/>
          <w:i w:val="false"/>
          <w:iCs w:val="false"/>
          <w:caps w:val="false"/>
          <w:sz w:val="24"/>
          <w:szCs w:val="24"/>
        </w:rPr>
        <w:t xml:space="preserve"> for the purposes of Section 50(3), with retrospective effect from 1 July 2017 [VERIFY the amending entry]. The 24% rate therefore does not exist for any period. Even if — contrary to Grounds 1 and 2 — any interest were leviable, it could not exceed 18% on the utilised amount for the period of utilisation, per the computation at Annexure 2.</w:t>
      </w:r>
    </w:p>
    <w:p>
      <w:pPr>
        <w:pStyle w:val="Heading2"/>
        <w:spacing w:after="140" w:before="200"/>
      </w:pPr>
      <w:r>
        <w:rPr>
          <w:rFonts w:ascii="Times New Roman" w:cs="Times New Roman" w:eastAsia="Times New Roman" w:hAnsi="Times New Roman"/>
          <w:b/>
          <w:bCs/>
          <w:sz w:val="24"/>
          <w:szCs w:val="24"/>
        </w:rPr>
        <w:t xml:space="preserve">Ground 4 (without prejudice): The computation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the Impugned SCN computes interest on the full availed amount from the date of availment, at 24%. The correct computation — Rule 88B(3): on the utilised portion, from the date of utilisation to the date of reversal/payment, at 18% — is at Annexure 2, and yields Rs. [NIL / ____].</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interest at 24% is not leviable — the original Section 50(3) never having operated, the substituted Section 50(3) requiring utilisation, and the notified rate standing at 18% retrospectively;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on the ledger-balance test of Rule 88B(3) and Circular No. 192/04/2023-GST, that no interest arises, the disputed credit never having been utilised;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the alternative, RESTRICT any interest to 18% on the utilised amount for the period of utilisation, per Annexure 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50 of the CGST Act, 2017 (sub-section (3) as enacted and as substituted by Section 111 of the Finance Act, 2022, w.r.e.f. 01.07.2017); Sections 42 and 43 (as they stood; since omitted); Rule 88B(3)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09/2022-Central Tax dated 05.07.2022 (commencement; retrospective substitution; amendment of the rate notification to 18% for Section 50(3)) [VERIFY the rate entry]; Notification No. 14/2022-Central Tax dated 05.07.2022 (Rule 88B); Notification No. 13/2017-Central Tax dated 28.06.2017 (rates); Circular No. 192/04/2023-GST dated 17.07.2023 (ledger-balance test).</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Electronic credit ledger extracts demonstrating the balance never fell below the disputed credit.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Interest computation per Rule 88B(3) at 18% (alternative).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2026-06-13T08:26:24.939Z</dcterms:created>
  <dcterms:modified xsi:type="dcterms:W3CDTF">2026-06-13T08:26:24.939Z</dcterms:modified>
</cp:coreProperties>
</file>

<file path=docProps/custom.xml><?xml version="1.0" encoding="utf-8"?>
<Properties xmlns="http://schemas.openxmlformats.org/officeDocument/2006/custom-properties" xmlns:vt="http://schemas.openxmlformats.org/officeDocument/2006/docPropsVTypes"/>
</file>