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under Section 73 read with Section 50(1) demanding interest for August 2017 on the footing that the tax, though deposited in the electronic cash ledger, was not set off in Form GSTR-3B, the demand being unsustainable in respect of the period the amount lay in the cash ledger and, in any event, computable only on the net cash liability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 read with Section 50(1), No. [____] dated [____] (the “Impugned SCN”); period August 2017.</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provision is marked [VERIFY] for a final check before filing, save the verified Section 50 chain. The facts (tax for August 2017 deposited in the electronic cash ledger but not adjusted in GSTR-3B; interest demanded under Section 50(1)) and the source's reliance on Rule 87(1) are reproduced. Both lines of authority on the cash-ledger-deposit question are presented honestly.</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demands interest under Section 50(1) for August 2017 on the ground that, although the Company had </w:t>
      </w:r>
      <w:r>
        <w:rPr>
          <w:rFonts w:ascii="Times New Roman" w:cs="Times New Roman" w:eastAsia="Times New Roman" w:hAnsi="Times New Roman"/>
          <w:b/>
          <w:bCs/>
          <w:i w:val="false"/>
          <w:iCs w:val="false"/>
          <w:caps w:val="false"/>
          <w:sz w:val="24"/>
          <w:szCs w:val="24"/>
        </w:rPr>
        <w:t xml:space="preserve">deposited the tax in its electronic cash ledger</w:t>
      </w:r>
      <w:r>
        <w:rPr>
          <w:rFonts w:ascii="Times New Roman" w:cs="Times New Roman" w:eastAsia="Times New Roman" w:hAnsi="Times New Roman"/>
          <w:b w:val="false"/>
          <w:bCs w:val="false"/>
          <w:i w:val="false"/>
          <w:iCs w:val="false"/>
          <w:caps w:val="false"/>
          <w:sz w:val="24"/>
          <w:szCs w:val="24"/>
        </w:rPr>
        <w:t xml:space="preserve">, it did not set it off in its Form GSTR-3B. The demand is, with respect, unsustainable. Money deposited in the electronic cash ledger stands to the credit of the taxpayer with the Government; the exchequer is in funds from the date of deposit. Interest under Section 50 is compensatory — it compensates the State for being kept out of its money — and where the money already lay deposited with the State, there is nothing to compensate for that period. In any event, by the proviso to Section 50(1), interest on a belated GSTR-3B is leviable only on the net cash component, which here stood deposited. The Company presents the cash-ledger position at Annexure 1.</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maintains its electronic cash ledger on the common portal under Rule 87(1).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deposit. </w:t>
      </w:r>
      <w:r>
        <w:rPr>
          <w:rFonts w:ascii="Times New Roman" w:cs="Times New Roman" w:eastAsia="Times New Roman" w:hAnsi="Times New Roman"/>
          <w:b w:val="false"/>
          <w:bCs w:val="false"/>
          <w:i w:val="false"/>
          <w:iCs w:val="false"/>
          <w:caps w:val="false"/>
          <w:sz w:val="24"/>
          <w:szCs w:val="24"/>
        </w:rPr>
        <w:t xml:space="preserve">For August 2017, the Company deposited tax of Rs. [____] into its electronic cash ledger by challan dated [____]; the amount was credited to, and lay in, the cash ledger from that date (ledger extract at Annexure 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non-adjustment and the demand. </w:t>
      </w:r>
      <w:r>
        <w:rPr>
          <w:rFonts w:ascii="Times New Roman" w:cs="Times New Roman" w:eastAsia="Times New Roman" w:hAnsi="Times New Roman"/>
          <w:b w:val="false"/>
          <w:bCs w:val="false"/>
          <w:i w:val="false"/>
          <w:iCs w:val="false"/>
          <w:caps w:val="false"/>
          <w:sz w:val="24"/>
          <w:szCs w:val="24"/>
        </w:rPr>
        <w:t xml:space="preserve">Owing to [a return-filing error / the early-period portal position], the amount was not set off / debited in the Form GSTR-3B for the period when filed; the Department now demands interest under Section 50(1) for the delay in adjustment.</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Interest is compensatory; no interest for the period the money lay deposited with the State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Interest under Section 50 is compensatory, not penal: it compensates the exchequer for being deprived of the tax for the period it remained unpaid. Where the tax was </w:t>
      </w:r>
      <w:r>
        <w:rPr>
          <w:rFonts w:ascii="Times New Roman" w:cs="Times New Roman" w:eastAsia="Times New Roman" w:hAnsi="Times New Roman"/>
          <w:b w:val="false"/>
          <w:bCs w:val="false"/>
          <w:i/>
          <w:iCs/>
          <w:caps w:val="false"/>
          <w:sz w:val="24"/>
          <w:szCs w:val="24"/>
        </w:rPr>
        <w:t xml:space="preserve">deposited into the electronic cash ledger</w:t>
      </w:r>
      <w:r>
        <w:rPr>
          <w:rFonts w:ascii="Times New Roman" w:cs="Times New Roman" w:eastAsia="Times New Roman" w:hAnsi="Times New Roman"/>
          <w:b w:val="false"/>
          <w:bCs w:val="false"/>
          <w:i w:val="false"/>
          <w:iCs w:val="false"/>
          <w:caps w:val="false"/>
          <w:sz w:val="24"/>
          <w:szCs w:val="24"/>
        </w:rPr>
        <w:t xml:space="preserve">, the money passed to the credit of the Government from the date of deposit; the State was not kept out of its funds, and no compensation is due for that period. The mere delay in the book-entry of set-off in the return, while the money lay with the State, does not attract compensatory interest. The Madras High Court has taken this view in </w:t>
      </w:r>
      <w:r>
        <w:rPr>
          <w:rFonts w:ascii="Times New Roman" w:cs="Times New Roman" w:eastAsia="Times New Roman" w:hAnsi="Times New Roman"/>
          <w:b w:val="false"/>
          <w:bCs w:val="false"/>
          <w:i/>
          <w:iCs/>
          <w:caps w:val="false"/>
          <w:sz w:val="24"/>
          <w:szCs w:val="24"/>
        </w:rPr>
        <w:t xml:space="preserve">Maansarovar Motors Pvt. Ltd. v. Assistant Commissioner</w:t>
      </w:r>
      <w:r>
        <w:rPr>
          <w:rFonts w:ascii="Times New Roman" w:cs="Times New Roman" w:eastAsia="Times New Roman" w:hAnsi="Times New Roman"/>
          <w:b w:val="false"/>
          <w:bCs w:val="false"/>
          <w:i w:val="false"/>
          <w:iCs w:val="false"/>
          <w:caps w:val="false"/>
          <w:sz w:val="24"/>
          <w:szCs w:val="24"/>
        </w:rPr>
        <w:t xml:space="preserve">, W.P. No. 4468 of 2020, 29.09.2020 [VERIFY], holding that no interest is leviable for the period the amount lay deposited in the electronic cash ledger.</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There is a contrary line: RSB Transmissions (India) Ltd. v. Union of India, Jharkhand HC, 29.08.2022, holds that a deposit in the electronic cash ledger is a mere deposit and does not amount to ‘payment’ of tax until it is debited on filing the return, so interest can run until set-off. The position is unsettled; confirm the jurisdictional view before filing, and lead with Ground 2 (net-cash computation), which holds on either view to confine the interest to the net cash component. [VERIFY]</w:t>
      </w:r>
    </w:p>
    <w:p>
      <w:pPr>
        <w:pStyle w:val="Heading2"/>
        <w:spacing w:after="140" w:before="200"/>
      </w:pPr>
      <w:r>
        <w:rPr>
          <w:rFonts w:ascii="Times New Roman" w:cs="Times New Roman" w:eastAsia="Times New Roman" w:hAnsi="Times New Roman"/>
          <w:b/>
          <w:bCs/>
          <w:sz w:val="24"/>
          <w:szCs w:val="24"/>
        </w:rPr>
        <w:t xml:space="preserve">Ground 2: In any event, interest is leviable only on the net cash liability — the proviso to Section 50(1)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the proviso to Section 50(1) (inserted by the Finance (No. 2) Act, 2019 and given retrospective effect from 1 July 2017 by the Finance Act, 2021, Section 112, notified by Notification No. 16/2021-Central Tax dated 01.06.2021), interest on the tax declared in a belatedly furnished return is levied only on that portion paid by debiting the electronic cash ledger. The Company's liability for the period was met from the cash deposited (and any balance from available credit); the net cash component on which interest could at most run is therefore Rs. [____] (Annexure 1), for which the money was already in the cash ledger. The demand, computed otherwise, is excessive.</w:t>
      </w:r>
    </w:p>
    <w:p>
      <w:pPr>
        <w:pStyle w:val="Heading2"/>
        <w:spacing w:after="140" w:before="200"/>
      </w:pPr>
      <w:r>
        <w:rPr>
          <w:rFonts w:ascii="Times New Roman" w:cs="Times New Roman" w:eastAsia="Times New Roman" w:hAnsi="Times New Roman"/>
          <w:b/>
          <w:bCs/>
          <w:sz w:val="24"/>
          <w:szCs w:val="24"/>
        </w:rPr>
        <w:t xml:space="preserve">Ground 3 (without prejudice): No penalty; rectification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the non-adjustment was a bona fide, revenue-neutral book error with the money lying deposited with the State; it is at most a minor breach within Section 126, for which no penalty is exigible, and the Company is willing to make any consequential book adjustment / rectification.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interest is leviable for the period the tax lay deposited in the electronic cash ledger; in the alternative, CONFINE any interest to the net cash component per the proviso to Section 50(1);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VERIFY the cash-ledger position at Annexure 1 and re-compute / drop the interest accordingly;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IMPOSE no penalty, the lapse being a bona fide, revenue-neutral book error;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49 and Section 50 (including sub-section (1) and the proviso) of the CGST Act, 2017 (the proviso given retrospective effect from 01.07.2017 by the Finance Act, 2021, Section 112, vide Notification No. 16/2021-Central Tax dated 01.06.2021); Sections 73 and 126; Rule 87(1)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Maansarovar Motors Pvt. Ltd. v. Assistant Commissioner, Madras HC, W.P. No. 4468 of 2020, 29.09.2020; contra: RSB Transmissions (India) Ltd. v. Union of India, Jharkhand HC, 29.08.2022.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Electronic cash ledger extract evidencing the deposit and the period the amount lay in the ledger; the net-cash interest computation.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Challan for the deposit and the GSTR-3B for the period.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2026-06-13T08:26:25.529Z</dcterms:created>
  <dcterms:modified xsi:type="dcterms:W3CDTF">2026-06-13T08:26:25.529Z</dcterms:modified>
</cp:coreProperties>
</file>

<file path=docProps/custom.xml><?xml version="1.0" encoding="utf-8"?>
<Properties xmlns="http://schemas.openxmlformats.org/officeDocument/2006/custom-properties" xmlns:vt="http://schemas.openxmlformats.org/officeDocument/2006/docPropsVTypes"/>
</file>