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left"/>
      </w:pPr>
      <w:r>
        <w:rPr>
          <w:rFonts w:ascii="Times New Roman" w:cs="Times New Roman" w:eastAsia="Times New Roman" w:hAnsi="Times New Roman"/>
          <w:sz w:val="24"/>
          <w:szCs w:val="24"/>
        </w:rPr>
        <w:t xml:space="preserve">To,</w:t>
      </w:r>
    </w:p>
    <w:p>
      <w:pPr>
        <w:spacing w:after="20"/>
        <w:jc w:val="left"/>
      </w:pPr>
      <w:r>
        <w:rPr>
          <w:rFonts w:ascii="Times New Roman" w:cs="Times New Roman" w:eastAsia="Times New Roman" w:hAnsi="Times New Roman"/>
          <w:sz w:val="24"/>
          <w:szCs w:val="24"/>
        </w:rPr>
        <w:t xml:space="preserve">The Joint Commissioner of State Tax,</w:t>
      </w:r>
    </w:p>
    <w:p>
      <w:pPr>
        <w:spacing w:after="160"/>
        <w:jc w:val="left"/>
      </w:pPr>
      <w:r>
        <w:rPr>
          <w:rFonts w:ascii="Times New Roman" w:cs="Times New Roman" w:eastAsia="Times New Roman" w:hAnsi="Times New Roman"/>
          <w:sz w:val="24"/>
          <w:szCs w:val="24"/>
        </w:rPr>
        <w:t xml:space="preserve">[Ward / Circle], [State]</w:t>
      </w:r>
    </w:p>
    <w:p>
      <w:pPr>
        <w:spacing w:after="20"/>
        <w:jc w:val="left"/>
      </w:pPr>
      <w:r>
        <w:rPr>
          <w:rFonts w:ascii="Times New Roman" w:cs="Times New Roman" w:eastAsia="Times New Roman" w:hAnsi="Times New Roman"/>
          <w:sz w:val="24"/>
          <w:szCs w:val="24"/>
        </w:rPr>
        <w:t xml:space="preserve">GSTIN: ____________________</w:t>
      </w:r>
    </w:p>
    <w:p>
      <w:pPr>
        <w:spacing w:after="20"/>
        <w:jc w:val="left"/>
      </w:pPr>
      <w:r>
        <w:rPr>
          <w:rFonts w:ascii="Times New Roman" w:cs="Times New Roman" w:eastAsia="Times New Roman" w:hAnsi="Times New Roman"/>
          <w:sz w:val="24"/>
          <w:szCs w:val="24"/>
        </w:rPr>
        <w:t xml:space="preserve">Trade Name: M/s Notice Desk Private Limited</w:t>
      </w:r>
    </w:p>
    <w:p>
      <w:pPr>
        <w:spacing w:after="160"/>
        <w:jc w:val="left"/>
      </w:pPr>
      <w:r>
        <w:rPr>
          <w:rFonts w:ascii="Times New Roman" w:cs="Times New Roman" w:eastAsia="Times New Roman" w:hAnsi="Times New Roman"/>
          <w:sz w:val="24"/>
          <w:szCs w:val="24"/>
        </w:rPr>
        <w:t xml:space="preserve">Reference (SCN) No.: ____________  dated __________</w:t>
      </w:r>
    </w:p>
    <w:p>
      <w:pPr>
        <w:spacing w:after="120"/>
        <w:jc w:val="left"/>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to Show Cause Notice in Form GST DRC-01 proposing reversal of input tax credit of Rs. ____ availed on tax discharged under reverse charge under Section 9(4) of the CGST Act, 2017 for the period ________.</w:t>
      </w:r>
    </w:p>
    <w:p>
      <w:pPr>
        <w:pBdr>
          <w:top w:val="single" w:color="888888" w:sz="4" w:space="4"/>
          <w:bottom w:val="single" w:color="888888" w:sz="4" w:space="4"/>
        </w:pBdr>
        <w:spacing w:after="60" w:before="80"/>
      </w:pPr>
      <w:r>
        <w:rPr>
          <w:rFonts w:ascii="Times New Roman" w:cs="Times New Roman" w:eastAsia="Times New Roman" w:hAnsi="Times New Roman"/>
          <w:i/>
          <w:iCs/>
          <w:sz w:val="24"/>
          <w:szCs w:val="24"/>
        </w:rPr>
        <w:t xml:space="preserve">Drafting note (remove before filing). </w:t>
      </w:r>
    </w:p>
    <w:p>
      <w:pPr>
        <w:spacing w:after="80"/>
        <w:jc w:val="both"/>
      </w:pPr>
      <w:r>
        <w:rPr>
          <w:rFonts w:ascii="Times New Roman" w:cs="Times New Roman" w:eastAsia="Times New Roman" w:hAnsi="Times New Roman"/>
          <w:i/>
          <w:iCs/>
          <w:sz w:val="24"/>
          <w:szCs w:val="24"/>
        </w:rPr>
        <w:t xml:space="preserve">Strategic levers: (1) tax paid under Section 9(4) is “input tax” by the express definition in Section 2(62)(b); once that tax has reached the exchequer, ITC is admissible under Section 16(1). (2) Denial on a “no liability” technicality produces double taxation and offends revenue-neutrality. (3) The Section 9(4) suspension chronology is set out below; tie the period of payment to it.</w:t>
      </w:r>
    </w:p>
    <w:p>
      <w:pPr>
        <w:spacing w:after="80"/>
        <w:jc w:val="both"/>
      </w:pPr>
      <w:r>
        <w:rPr>
          <w:rFonts w:ascii="Times New Roman" w:cs="Times New Roman" w:eastAsia="Times New Roman" w:hAnsi="Times New Roman"/>
          <w:i/>
          <w:iCs/>
          <w:sz w:val="24"/>
          <w:szCs w:val="24"/>
        </w:rPr>
        <w:t xml:space="preserve">Honest risk: there is no binding Supreme Court ruling squarely holding that ITC is admissible where 9(4) RCM was voluntarily paid despite the exemption. Treat this as a strong statutory-construction argument, not settled law.</w:t>
      </w:r>
    </w:p>
    <w:p>
      <w:pPr>
        <w:spacing w:after="80"/>
        <w:jc w:val="both"/>
      </w:pPr>
      <w:r>
        <w:rPr>
          <w:rFonts w:ascii="Times New Roman" w:cs="Times New Roman" w:eastAsia="Times New Roman" w:hAnsi="Times New Roman"/>
          <w:i/>
          <w:iCs/>
          <w:sz w:val="24"/>
          <w:szCs w:val="24"/>
        </w:rPr>
        <w:t xml:space="preserve">Placeholders to complete: GSTIN, period/month, amount, SCN reference and date; confirm the exact months of RCM payment and align them to the suspension dates below.</w:t>
      </w:r>
    </w:p>
    <w:p>
      <w:pPr>
        <w:spacing w:after="80"/>
      </w:pPr>
      <w:r>
        <w:rPr>
          <w:rFonts w:ascii="Times New Roman" w:cs="Times New Roman" w:eastAsia="Times New Roman" w:hAnsi="Times New Roman"/>
          <w:sz w:val="24"/>
          <w:szCs w:val="24"/>
        </w:rPr>
        <w:t xml:space="preserve"/>
      </w:r>
    </w:p>
    <w:p>
      <w:pPr>
        <w:spacing w:after="120" w:before="160"/>
        <w:jc w:val="left"/>
      </w:pPr>
      <w:r>
        <w:rPr>
          <w:rFonts w:ascii="Times New Roman" w:cs="Times New Roman" w:eastAsia="Times New Roman" w:hAnsi="Times New Roman"/>
          <w:b/>
          <w:bCs/>
          <w:sz w:val="24"/>
          <w:szCs w:val="24"/>
        </w:rPr>
        <w:t xml:space="preserve">Synopsis</w:t>
      </w:r>
    </w:p>
    <w:p>
      <w:pPr>
        <w:spacing w:after="160" w:line="276"/>
        <w:jc w:val="both"/>
      </w:pPr>
      <w:r>
        <w:rPr>
          <w:rFonts w:ascii="Times New Roman" w:cs="Times New Roman" w:eastAsia="Times New Roman" w:hAnsi="Times New Roman"/>
          <w:sz w:val="24"/>
          <w:szCs w:val="24"/>
        </w:rPr>
        <w:t xml:space="preserve">The proposed reversal proceeds on the premise that no liability to pay tax under reverse charge under Section 9(4) subsisted for the relevant period and, therefore, the tax paid does not qualify for credit. The premise is legally untenable: tax discharged under Section 9(4) is “input tax” by definition, and once that tax stands credited to the Government, the registered person is entitled to take credit of it under Section 16(1). The demand, if confirmed, would tax the same transaction twice.</w:t>
      </w:r>
    </w:p>
    <w:p>
      <w:pPr>
        <w:spacing w:after="120" w:before="160"/>
        <w:jc w:val="left"/>
      </w:pPr>
      <w:r>
        <w:rPr>
          <w:rFonts w:ascii="Times New Roman" w:cs="Times New Roman" w:eastAsia="Times New Roman" w:hAnsi="Times New Roman"/>
          <w:b/>
          <w:bCs/>
          <w:sz w:val="24"/>
          <w:szCs w:val="24"/>
        </w:rPr>
        <w:t xml:space="preserve">Factual Background</w:t>
      </w:r>
    </w:p>
    <w:p>
      <w:pPr>
        <w:spacing w:after="160" w:line="276"/>
        <w:jc w:val="both"/>
      </w:pPr>
      <w:r>
        <w:rPr>
          <w:rFonts w:ascii="Times New Roman" w:cs="Times New Roman" w:eastAsia="Times New Roman" w:hAnsi="Times New Roman"/>
          <w:sz w:val="24"/>
          <w:szCs w:val="24"/>
        </w:rPr>
        <w:t xml:space="preserve">The dated procedural chronology is as follows (to be completed from the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4"/>
                <w:szCs w:val="24"/>
              </w:rPr>
              <w:t xml:space="preserve">Date</w:t>
            </w:r>
          </w:p>
        </w:tc>
        <w:tc>
          <w:tcPr>
            <w:tcW w:type="dxa" w:w="6826"/>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4"/>
                <w:szCs w:val="24"/>
              </w:rPr>
              <w:t xml:space="preserve">Event</w:t>
            </w:r>
          </w:p>
        </w:tc>
      </w:tr>
      <w:t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sz w:val="24"/>
                <w:szCs w:val="24"/>
              </w:rPr>
              <w:t xml:space="preserve">__________</w:t>
            </w:r>
          </w:p>
        </w:tc>
        <w:tc>
          <w:tcPr>
            <w:tcW w:type="dxa" w:w="6826"/>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sz w:val="24"/>
                <w:szCs w:val="24"/>
              </w:rPr>
              <w:t xml:space="preserve">Purchases from unregistered suppliers; tax paid under reverse charge under Section 9(4) and reflected in GSTR-3B.</w:t>
            </w:r>
          </w:p>
        </w:tc>
      </w:tr>
      <w:t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sz w:val="24"/>
                <w:szCs w:val="24"/>
              </w:rPr>
              <w:t xml:space="preserve">__________</w:t>
            </w:r>
          </w:p>
        </w:tc>
        <w:tc>
          <w:tcPr>
            <w:tcW w:type="dxa" w:w="6826"/>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sz w:val="24"/>
                <w:szCs w:val="24"/>
              </w:rPr>
              <w:t xml:space="preserve">Input tax credit of Rs. ____ taken on the said reverse-charge payment.</w:t>
            </w:r>
          </w:p>
        </w:tc>
      </w:tr>
      <w:t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sz w:val="24"/>
                <w:szCs w:val="24"/>
              </w:rPr>
              <w:t xml:space="preserve">__________</w:t>
            </w:r>
          </w:p>
        </w:tc>
        <w:tc>
          <w:tcPr>
            <w:tcW w:type="dxa" w:w="6826"/>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sz w:val="24"/>
                <w:szCs w:val="24"/>
              </w:rPr>
              <w:t xml:space="preserve">Show Cause Notice in Form DRC-01 issued proposing reversal.</w:t>
            </w:r>
          </w:p>
        </w:tc>
      </w:tr>
    </w:tbl>
    <w:p>
      <w:pPr>
        <w:spacing w:after="120" w:before="160"/>
        <w:jc w:val="left"/>
      </w:pPr>
      <w:r>
        <w:rPr>
          <w:rFonts w:ascii="Times New Roman" w:cs="Times New Roman" w:eastAsia="Times New Roman" w:hAnsi="Times New Roman"/>
          <w:b/>
          <w:bCs/>
          <w:sz w:val="24"/>
          <w:szCs w:val="24"/>
        </w:rPr>
        <w:t xml:space="preserve">Submissions</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Tax paid under Section 9(4) is “input tax”. </w:t>
      </w:r>
      <w:r>
        <w:rPr>
          <w:rFonts w:ascii="Times New Roman" w:cs="Times New Roman" w:eastAsia="Times New Roman" w:hAnsi="Times New Roman"/>
          <w:sz w:val="24"/>
          <w:szCs w:val="24"/>
        </w:rPr>
        <w:t xml:space="preserve">Section 2(62)(b) of the CGST Act expressly defines “input tax” to include “the tax payable under the provisions of sub-sections (3) and (4) of section 9”. Section 2(63) defines “input tax credit” as the credit of input tax. The tax discharged by the noticee under Section 9(4) therefore squarely answers the statutory description of input tax.</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Entitlement under Section 16(1) is complete. </w:t>
      </w:r>
      <w:r>
        <w:rPr>
          <w:rFonts w:ascii="Times New Roman" w:cs="Times New Roman" w:eastAsia="Times New Roman" w:hAnsi="Times New Roman"/>
          <w:sz w:val="24"/>
          <w:szCs w:val="24"/>
        </w:rPr>
        <w:t xml:space="preserve">Section 16(1) entitles every registered person to take credit of input tax charged on any supply used or intended to be used in the course or furtherance of business. The inward supplies in question were so used; the conditions of Section 16(2) stand satisfied; and the credit was duly recorded in the electronic credit ledger.</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Once tax is in the exchequer, credit cannot be denied as a technicality. </w:t>
      </w:r>
      <w:r>
        <w:rPr>
          <w:rFonts w:ascii="Times New Roman" w:cs="Times New Roman" w:eastAsia="Times New Roman" w:hAnsi="Times New Roman"/>
          <w:sz w:val="24"/>
          <w:szCs w:val="24"/>
        </w:rPr>
        <w:t xml:space="preserve">The Department does not allege that the tax under reverse charge was not in fact paid. Having received the tax, the revenue cannot simultaneously retain it and deny the corresponding credit; that would amount to taxing the same transaction twice and would defeat the revenue-neutral scheme of the Act.</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The suspension of Section 9(4) does not convert a payment into a non-payment. </w:t>
      </w:r>
      <w:r>
        <w:rPr>
          <w:rFonts w:ascii="Times New Roman" w:cs="Times New Roman" w:eastAsia="Times New Roman" w:hAnsi="Times New Roman"/>
          <w:sz w:val="24"/>
          <w:szCs w:val="24"/>
        </w:rPr>
        <w:t xml:space="preserve">The liability under Section 9(4) on procurement from unregistered persons was exempted/deferred in stages — partial relief under Notification 8/2017-Central Tax (Rate) dated 28.06.2017 (Rs. 5,000 per day), full exemption under Notification 38/2017-Central Tax (Rate) dated 13.10.2017, extended by Notification 10/2018-CT(R) dated 23.03.2018 and thereafter by Notification 22/2018-Central Tax (Rate) dated 06.08.2018 up to 30.09.2019, and Section 9(4) was finally substituted to a notified-class basis with effect from 01.02.2019. Even where the exemption applied, the amount actually paid by the noticee was tax under Section 9(4) within Section 2(62)(b); the exemption affects the obligation to pay, not the character of a payment voluntarily made and accepted by the revenue.</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Revenue-neutral exercise. </w:t>
      </w:r>
      <w:r>
        <w:rPr>
          <w:rFonts w:ascii="Times New Roman" w:cs="Times New Roman" w:eastAsia="Times New Roman" w:hAnsi="Times New Roman"/>
          <w:sz w:val="24"/>
          <w:szCs w:val="24"/>
        </w:rPr>
        <w:t xml:space="preserve">Had the tax not been paid, no credit would arise; having paid, the noticee is entitled to credit. The exercise is revenue-neutral and the proposed reversal yields the revenue an unjust enrichment.</w:t>
      </w:r>
    </w:p>
    <w:p>
      <w:pPr>
        <w:spacing w:after="120" w:before="160"/>
        <w:jc w:val="left"/>
      </w:pPr>
      <w:r>
        <w:rPr>
          <w:rFonts w:ascii="Times New Roman" w:cs="Times New Roman" w:eastAsia="Times New Roman" w:hAnsi="Times New Roman"/>
          <w:b/>
          <w:bCs/>
          <w:sz w:val="24"/>
          <w:szCs w:val="24"/>
        </w:rPr>
        <w:t xml:space="preserve">Prayer</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It is respectfully prayed that the Show Cause Notice be dropped and the proposed reversal of input tax credit of Rs. ____ be not confirmed; and that an opportunity of personal hearing be granted before any adverse order is passed.</w:t>
      </w:r>
    </w:p>
    <w:p>
      <w:pPr>
        <w:spacing w:after="20" w:before="240"/>
      </w:pPr>
      <w:r>
        <w:rPr>
          <w:rFonts w:ascii="Times New Roman" w:cs="Times New Roman" w:eastAsia="Times New Roman" w:hAnsi="Times New Roman"/>
          <w:sz w:val="24"/>
          <w:szCs w:val="24"/>
        </w:rPr>
        <w:t xml:space="preserve">Yours faithfully,</w:t>
      </w:r>
    </w:p>
    <w:p>
      <w:pPr>
        <w:spacing w:after="20"/>
      </w:pPr>
      <w:r>
        <w:rPr>
          <w:rFonts w:ascii="Times New Roman" w:cs="Times New Roman" w:eastAsia="Times New Roman" w:hAnsi="Times New Roman"/>
          <w:b/>
          <w:bCs/>
          <w:sz w:val="24"/>
          <w:szCs w:val="24"/>
        </w:rPr>
        <w:t xml:space="preserve">For M/s Notice Desk Private Limited</w:t>
      </w:r>
    </w:p>
    <w:p>
      <w:pPr>
        <w:spacing w:after="20" w:before="320"/>
      </w:pPr>
      <w:r>
        <w:rPr>
          <w:rFonts w:ascii="Times New Roman" w:cs="Times New Roman" w:eastAsia="Times New Roman" w:hAnsi="Times New Roman"/>
          <w:sz w:val="24"/>
          <w:szCs w:val="24"/>
        </w:rPr>
        <w:t xml:space="preserve">_______________________________</w:t>
      </w:r>
    </w:p>
    <w:p>
      <w:pPr>
        <w:spacing w:after="20"/>
      </w:pPr>
      <w:r>
        <w:rPr>
          <w:rFonts w:ascii="Times New Roman" w:cs="Times New Roman" w:eastAsia="Times New Roman" w:hAnsi="Times New Roman"/>
          <w:sz w:val="24"/>
          <w:szCs w:val="24"/>
        </w:rPr>
        <w:t xml:space="preserve">Authorised Signatory / Director</w:t>
      </w:r>
    </w:p>
    <w:p>
      <w:pPr>
        <w:spacing w:after="20"/>
      </w:pPr>
      <w:r>
        <w:rPr>
          <w:rFonts w:ascii="Times New Roman" w:cs="Times New Roman" w:eastAsia="Times New Roman" w:hAnsi="Times New Roman"/>
          <w:sz w:val="24"/>
          <w:szCs w:val="24"/>
        </w:rPr>
        <w:t xml:space="preserve">Place: Nasik</w:t>
      </w:r>
    </w:p>
    <w:p>
      <w:pPr>
        <w:spacing w:after="20"/>
      </w:pPr>
      <w:r>
        <w:rPr>
          <w:rFonts w:ascii="Times New Roman" w:cs="Times New Roman" w:eastAsia="Times New Roman" w:hAnsi="Times New Roman"/>
          <w:sz w:val="24"/>
          <w:szCs w:val="24"/>
        </w:rPr>
        <w:t xml:space="preserve">Date: 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abstractNum w:abstractNumId="5" w15:restartNumberingAfterBreak="0">
    <w:multiLevelType w:val="hybridMultilevel"/>
    <w:lvl w:ilvl="0" w15:tentative="1">
      <w:start w:val="1"/>
      <w:numFmt w:val="lowerLetter"/>
      <w:lvlText w:val="(%1)"/>
      <w:lvlJc w:val="left"/>
      <w:pPr>
        <w:ind w:left="720" w:hanging="420"/>
      </w:pPr>
    </w:lvl>
  </w:abstractNum>
  <w:abstractNum w:abstractNumId="6" w15:restartNumberingAfterBreak="0">
    <w:multiLevelType w:val="hybridMultilevel"/>
    <w:lvl w:ilvl="0" w15:tentative="1">
      <w:start w:val="1"/>
      <w:numFmt w:val="lowerLetter"/>
      <w:lvlText w:val="(%1)"/>
      <w:lvlJc w:val="left"/>
      <w:pPr>
        <w:ind w:left="720" w:hanging="42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2026-06-14T02:47:42.988Z</dcterms:created>
  <dcterms:modified xsi:type="dcterms:W3CDTF">2026-06-14T02:47:42.988Z</dcterms:modified>
</cp:coreProperties>
</file>

<file path=docProps/custom.xml><?xml version="1.0" encoding="utf-8"?>
<Properties xmlns="http://schemas.openxmlformats.org/officeDocument/2006/custom-properties" xmlns:vt="http://schemas.openxmlformats.org/officeDocument/2006/docPropsVTypes"/>
</file>