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Assistant Commissioner,</w:t>
      </w:r>
    </w:p>
    <w:p>
      <w:pPr>
        <w:spacing w:after="160"/>
        <w:jc w:val="left"/>
      </w:pPr>
      <w:r>
        <w:rPr>
          <w:rFonts w:ascii="Times New Roman" w:cs="Times New Roman" w:eastAsia="Times New Roman" w:hAnsi="Times New Roman"/>
          <w:sz w:val="24"/>
          <w:szCs w:val="24"/>
        </w:rPr>
        <w:t xml:space="preserve">Goods and Services Tax, [Division], [State]</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 query proposing rejection of the application in Form GST REG-21 for revocation of cancellation of registration.</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Strategic levers: (1) the registration was cancelled on the single ground of non-filing under Section 29(2)(b); all pending returns have now been filed, so the ground of cancellation is spent. (2) The officer cannot travel beyond that ground at the revocation stage to demand Section 16(4) reversal or interest proof as a condition of revocation. (3) Section 16(6) (inserted by the Finance (No.2) Act 2024) now expressly preserves ITC for the cancellation-to-revocation period where returns are filed within thirty days of the revocation order — this answers the 16(4) objection on its own terms.</w:t>
      </w:r>
    </w:p>
    <w:p>
      <w:pPr>
        <w:spacing w:after="80"/>
        <w:jc w:val="both"/>
      </w:pPr>
      <w:r>
        <w:rPr>
          <w:rFonts w:ascii="Times New Roman" w:cs="Times New Roman" w:eastAsia="Times New Roman" w:hAnsi="Times New Roman"/>
          <w:i/>
          <w:iCs/>
          <w:sz w:val="24"/>
          <w:szCs w:val="24"/>
        </w:rPr>
        <w:t xml:space="preserve">Placeholders: cancellation order date, REG-21 filing date, list of returns filed, period.</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registration was cancelled solely for non-furnishing of returns under Section 29(2)(b). The noticee has since filed all pending returns and applied for revocation in Form REG-21 under Section 30 read with Rule 23. The objections raised — proof of interest and details of input tax credit reversed under Section 16(4) — are extraneous to the ground of cancellation and cannot be made conditions of revocation.</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ground of cancellation stands cured. </w:t>
      </w:r>
      <w:r>
        <w:rPr>
          <w:rFonts w:ascii="Times New Roman" w:cs="Times New Roman" w:eastAsia="Times New Roman" w:hAnsi="Times New Roman"/>
          <w:sz w:val="24"/>
          <w:szCs w:val="24"/>
        </w:rPr>
        <w:t xml:space="preserve">Cancellation was ordered under Section 29(2)(b) for failure to furnish returns. All pending returns up to the date of cancellation have been filed and the applicable tax and late fee paid. The very basis of cancellation no longer subsists, and revocation under Section 30 read with Rule 23 must follow.</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officer cannot travel beyond the ground of cancellation. </w:t>
      </w:r>
      <w:r>
        <w:rPr>
          <w:rFonts w:ascii="Times New Roman" w:cs="Times New Roman" w:eastAsia="Times New Roman" w:hAnsi="Times New Roman"/>
          <w:sz w:val="24"/>
          <w:szCs w:val="24"/>
        </w:rPr>
        <w:t xml:space="preserve">Revocation proceedings are confined to whether the cause of cancellation has been remedied. A demand for Section 16(4) reversal or for proof of interest is a separate adjudicatory exercise under Chapter XV and cannot be imported into, or made a pre-condition of, revocation.</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A bare query carries no legal force. </w:t>
      </w:r>
      <w:r>
        <w:rPr>
          <w:rFonts w:ascii="Times New Roman" w:cs="Times New Roman" w:eastAsia="Times New Roman" w:hAnsi="Times New Roman"/>
          <w:sz w:val="24"/>
          <w:szCs w:val="24"/>
        </w:rPr>
        <w:t xml:space="preserve">A communication that does not invoke any provision of the Act and is not issued as a Show Cause Notice under Rule 142 has no legal value. Reliance is placed on the decision of the Madras High Court in M/s SLT Cement Marketers Pvt. Ltd. (dated 17.06.2021), where the revenue itself conceded that the communication was merely informational.</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Section 16(6) preserves credit for the intervening period. </w:t>
      </w:r>
      <w:r>
        <w:rPr>
          <w:rFonts w:ascii="Times New Roman" w:cs="Times New Roman" w:eastAsia="Times New Roman" w:hAnsi="Times New Roman"/>
          <w:sz w:val="24"/>
          <w:szCs w:val="24"/>
        </w:rPr>
        <w:t xml:space="preserve">By the Finance (No.2) Act 2024, Section 16(6) was inserted with retrospective effect from 01.07.2017 to provide that, where registration is cancelled and later revoked, input tax credit for the period from the date of cancellation to the date of revocation is available if the return is furnished within thirty days of the revocation order. The 16(4) objection is therefore misconceived in law.</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application in Form REG-21 be allowed and the registration restored; and that the extraneous objections regarding Section 16(4) and interest be not pressed as conditions of revocation.</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lowerLetter"/>
      <w:lvlText w:val="(%1)"/>
      <w:lvlJc w:val="left"/>
      <w:pPr>
        <w:ind w:left="720" w:hanging="420"/>
      </w:pPr>
    </w:lvl>
  </w:abstractNum>
  <w:abstractNum w:abstractNumId="6" w15:restartNumberingAfterBreak="0">
    <w:multiLevelType w:val="hybridMultilevel"/>
    <w:lvl w:ilvl="0" w15:tentative="1">
      <w:start w:val="1"/>
      <w:numFmt w:val="lowerLetter"/>
      <w:lvlText w:val="(%1)"/>
      <w:lvlJc w:val="left"/>
      <w:pPr>
        <w:ind w:left="720" w:hanging="4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2026-06-14T02:47:43.144Z</dcterms:created>
  <dcterms:modified xsi:type="dcterms:W3CDTF">2026-06-14T02:47:43.144Z</dcterms:modified>
</cp:coreProperties>
</file>

<file path=docProps/custom.xml><?xml version="1.0" encoding="utf-8"?>
<Properties xmlns="http://schemas.openxmlformats.org/officeDocument/2006/custom-properties" xmlns:vt="http://schemas.openxmlformats.org/officeDocument/2006/docPropsVTypes"/>
</file>