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Superintendent of Central Tax,</w:t>
      </w:r>
    </w:p>
    <w:p>
      <w:pPr>
        <w:spacing w:after="160"/>
        <w:jc w:val="left"/>
      </w:pPr>
      <w:r>
        <w:rPr>
          <w:rFonts w:ascii="Times New Roman" w:cs="Times New Roman" w:eastAsia="Times New Roman" w:hAnsi="Times New Roman"/>
          <w:sz w:val="24"/>
          <w:szCs w:val="24"/>
        </w:rPr>
        <w:t xml:space="preserve">[Range / Division], [Commissionerate]</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(SCN)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DRC-01 under Section 74 raising a demand of Rs. 25,00,000 (CGST Rs. 12,50,000 and SGST Rs. 12,50,000).</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Circular 31/05/2018-GST fixes monetary ceilings for proper officers issuing SCNs/orders under Sections 73/74. A Superintendent’s competence is capped; a demand of Rs. 25 lakh exceeds it.</w:t>
      </w:r>
    </w:p>
    <w:p>
      <w:pPr>
        <w:spacing w:after="80"/>
        <w:jc w:val="both"/>
      </w:pPr>
      <w:r>
        <w:rPr>
          <w:rFonts w:ascii="Times New Roman" w:cs="Times New Roman" w:eastAsia="Times New Roman" w:hAnsi="Times New Roman"/>
          <w:i/>
          <w:iCs/>
          <w:sz w:val="24"/>
          <w:szCs w:val="24"/>
        </w:rPr>
        <w:t xml:space="preserve">Confirm from the Table the exact ceiling applicable on the combined Central+Integrated tax basis (see Circular 254/11/2025-GST dated 27.10.2025, which clarifies the combined-amount basis). Quantify the demand accordingly before filing.</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demand of Rs. 25,00,000 exceeds the monetary competence of the Superintendent prescribed by the Board for the issuance of Show Cause Notices under Section 74. The notice is therefore without jurisdiction.</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Monetary competence is assigned by the Board. </w:t>
      </w:r>
      <w:r>
        <w:rPr>
          <w:rFonts w:ascii="Times New Roman" w:cs="Times New Roman" w:eastAsia="Times New Roman" w:hAnsi="Times New Roman"/>
          <w:sz w:val="24"/>
          <w:szCs w:val="24"/>
        </w:rPr>
        <w:t xml:space="preserve">Section 2(91) read with Circular 31/05/2018-GST dated 09.02.2018 assigns proper-officer functions for Sections 73/74 up to specified monetary limits for each level of officer. The assignment is mandatory and defines the boundary of jurisdiction.</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Superintendent’s ceiling is exceeded. </w:t>
      </w:r>
      <w:r>
        <w:rPr>
          <w:rFonts w:ascii="Times New Roman" w:cs="Times New Roman" w:eastAsia="Times New Roman" w:hAnsi="Times New Roman"/>
          <w:sz w:val="24"/>
          <w:szCs w:val="24"/>
        </w:rPr>
        <w:t xml:space="preserve">Under the Table to Circular 31/2018, the Superintendent of Central Tax may issue notices and orders under Sections 73/74 only up to the prescribed ceiling (central tax not exceeding Rs. 10,00,000; integrated tax not exceeding Rs. 20,00,000; and, where both are involved, the combined ceiling). The present demand of Rs. 25,00,000 is beyond that ceiling and ought to have been issued by the Deputy or Assistant Commissioner.</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 notice beyond competence is a nullity. </w:t>
      </w:r>
      <w:r>
        <w:rPr>
          <w:rFonts w:ascii="Times New Roman" w:cs="Times New Roman" w:eastAsia="Times New Roman" w:hAnsi="Times New Roman"/>
          <w:sz w:val="24"/>
          <w:szCs w:val="24"/>
        </w:rPr>
        <w:t xml:space="preserve">An SCN issued in excess of the officer’s assigned monetary competence is without jurisdiction and any order founded upon it cannot stand.</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Show Cause Notice be dropped as having been issued beyond the monetary competence of the Superintendent; without prejudice, that it be placed before the proper officer competent for the amount in question; and that an opportunity of hearing be granted.</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lowerLetter"/>
      <w:lvlText w:val="(%1)"/>
      <w:lvlJc w:val="left"/>
      <w:pPr>
        <w:ind w:left="720" w:hanging="420"/>
      </w:pPr>
    </w:lvl>
  </w:abstractNum>
  <w:abstractNum w:abstractNumId="6" w15:restartNumberingAfterBreak="0">
    <w:multiLevelType w:val="hybridMultilevel"/>
    <w:lvl w:ilvl="0" w15:tentative="1">
      <w:start w:val="1"/>
      <w:numFmt w:val="lowerLetter"/>
      <w:lvlText w:val="(%1)"/>
      <w:lvlJc w:val="left"/>
      <w:pPr>
        <w:ind w:left="720" w:hanging="4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2026-06-14T02:47:43.230Z</dcterms:created>
  <dcterms:modified xsi:type="dcterms:W3CDTF">2026-06-14T02:47:43.230Z</dcterms:modified>
</cp:coreProperties>
</file>

<file path=docProps/custom.xml><?xml version="1.0" encoding="utf-8"?>
<Properties xmlns="http://schemas.openxmlformats.org/officeDocument/2006/custom-properties" xmlns:vt="http://schemas.openxmlformats.org/officeDocument/2006/docPropsVTypes"/>
</file>