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Superintendent of Central Tax,</w:t>
      </w:r>
    </w:p>
    <w:p>
      <w:pPr>
        <w:spacing w:after="160"/>
        <w:jc w:val="left"/>
      </w:pPr>
      <w:r>
        <w:rPr>
          <w:rFonts w:ascii="Times New Roman" w:cs="Times New Roman" w:eastAsia="Times New Roman" w:hAnsi="Times New Roman"/>
          <w:sz w:val="24"/>
          <w:szCs w:val="24"/>
        </w:rPr>
        <w:t xml:space="preserve">[Range / Division], [Commissionerate]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Assessment Order (Section 62)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of furnishing of valid return within the statutory window under Section 62(2) of the CGST Act, 2017, and consequent deemed withdrawal of the best-judgment assessment order.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Compute-by-date item (critical): the deemed-withdrawal window depends on the date of the Section 62(1) order. For orders served on or after 01.10.2023 the window is 60 days (Finance Act 2023; Notification 28/2023-CT). For orders served before 01.10.2023 the window is 30 days. Confirm which window applies and that the return was filed within it.</w:t>
      </w:r>
    </w:p>
    <w:p>
      <w:pPr>
        <w:spacing w:after="80"/>
        <w:jc w:val="both"/>
      </w:pPr>
      <w:r>
        <w:rPr>
          <w:rFonts w:ascii="Times New Roman" w:cs="Times New Roman" w:eastAsia="Times New Roman" w:hAnsi="Times New Roman"/>
          <w:i/>
          <w:iCs/>
          <w:sz w:val="24"/>
          <w:szCs w:val="24"/>
        </w:rPr>
        <w:t xml:space="preserve">Levers: deemed withdrawal under Section 62(2) is automatic on filing within the window; no separate confirmation by the officer is required, and recovery/adjustment on a withdrawn order is illegal. Interest under Section 50(1) and late fee under Section 47 nonetheless survive.</w:t>
      </w:r>
    </w:p>
    <w:p>
      <w:pPr>
        <w:spacing w:after="80"/>
        <w:jc w:val="both"/>
      </w:pPr>
      <w:r>
        <w:rPr>
          <w:rFonts w:ascii="Times New Roman" w:cs="Times New Roman" w:eastAsia="Times New Roman" w:hAnsi="Times New Roman"/>
          <w:i/>
          <w:iCs/>
          <w:sz w:val="24"/>
          <w:szCs w:val="24"/>
        </w:rPr>
        <w:t xml:space="preserve">Placeholders: Section 46 notice date, Section 62 order date and amount, return filing date and ARN.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Following a best-judgment assessment under Section 62(1), the noticee has furnished the valid return within the period prescribed by Section 62(2). The assessment order is therefore deemed to have been withdrawn by operation of law. This letter places the fact on record and requests that no recovery or adjustment be made pursuant to the withdrawn order.</w:t>
      </w:r>
    </w:p>
    <w:p>
      <w:pPr>
        <w:spacing w:after="120" w:before="160"/>
        <w:jc w:val="left"/>
      </w:pPr>
      <w:r>
        <w:rPr>
          <w:rFonts w:ascii="Times New Roman" w:cs="Times New Roman" w:eastAsia="Times New Roman" w:hAnsi="Times New Roman"/>
          <w:b/>
          <w:bCs/>
          <w:sz w:val="24"/>
          <w:szCs w:val="24"/>
        </w:rPr>
        <w:t xml:space="preserve">Factual Background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Date</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Event</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Notice under Section 46 issued for non-furnishing of return in Form GSTR-3B.</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Assessment order under Section 62(1) passed on best-judgment basis for Rs. ____.</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Valid return furnished (ARN ____) within the statutory window under Section 62(2).</w:t>
            </w:r>
          </w:p>
        </w:tc>
      </w:tr>
    </w:tbl>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return was filed within the statutory window. </w:t>
      </w:r>
      <w:r>
        <w:rPr>
          <w:rFonts w:ascii="Times New Roman" w:cs="Times New Roman" w:eastAsia="Times New Roman" w:hAnsi="Times New Roman"/>
          <w:sz w:val="24"/>
          <w:szCs w:val="24"/>
        </w:rPr>
        <w:t xml:space="preserve">Section 62(2) provides that where a valid return is furnished within the prescribed period of the service of the assessment order, the order “shall be deemed to have been withdrawn”. By the Finance Act 2023, with effect from 01.10.2023, that period was enlarged from thirty days to sixty days. The noticee’s return was furnished within the applicable window.</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Withdrawal is automatic and requires no order. </w:t>
      </w:r>
      <w:r>
        <w:rPr>
          <w:rFonts w:ascii="Times New Roman" w:cs="Times New Roman" w:eastAsia="Times New Roman" w:hAnsi="Times New Roman"/>
          <w:sz w:val="24"/>
          <w:szCs w:val="24"/>
        </w:rPr>
        <w:t xml:space="preserve">The deeming operates by force of statute; it does not depend on any separate intimation or confirmation by the proper officer. Recovery or adjustment founded on an order that stands withdrawn is without authority. It has been so held by the Andhra Pradesh High Court (2025), directing reversal of an amount wrongly adjusted against the electronic credit ledger pursuant to a withdrawn order.</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Strict but full effect to the savings clause. </w:t>
      </w:r>
      <w:r>
        <w:rPr>
          <w:rFonts w:ascii="Times New Roman" w:cs="Times New Roman" w:eastAsia="Times New Roman" w:hAnsi="Times New Roman"/>
          <w:sz w:val="24"/>
          <w:szCs w:val="24"/>
        </w:rPr>
        <w:t xml:space="preserve">As clarified in Mangomeadows Agricultural Pleasure Land Pvt. Ltd. (Kerala High Court, 23.09.2019), the timeline under Section 62(2) is to be construed strictly; the noticee having complied within time, the order is withdrawn, subject only to the surviving liability to interest under Section 50(1) and late fee under Section 47, which the noticee has discharged / undertakes to discharge.</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assessment order under Section 62(1) be treated as withdrawn under Section 62(2); that the demand thereunder be not enforced; and that any recovery or adjustment already made be reversed.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2026-06-14T02:47:43.378Z</dcterms:created>
  <dcterms:modified xsi:type="dcterms:W3CDTF">2026-06-14T02:47:43.378Z</dcterms:modified>
</cp:coreProperties>
</file>

<file path=docProps/custom.xml><?xml version="1.0" encoding="utf-8"?>
<Properties xmlns="http://schemas.openxmlformats.org/officeDocument/2006/custom-properties" xmlns:vt="http://schemas.openxmlformats.org/officeDocument/2006/docPropsVTypes"/>
</file>