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Proper Officer,</w:t>
      </w:r>
    </w:p>
    <w:p>
      <w:pPr>
        <w:spacing w:after="160"/>
        <w:jc w:val="left"/>
      </w:pPr>
      <w:r>
        <w:rPr>
          <w:rFonts w:ascii="Times New Roman" w:cs="Times New Roman" w:eastAsia="Times New Roman" w:hAnsi="Times New Roman"/>
          <w:sz w:val="24"/>
          <w:szCs w:val="24"/>
        </w:rPr>
        <w:t xml:space="preserve">[Ward / Range], Goods and Services Tax,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disallowing input tax credit of Rs. ____ under Section 16(4) on the ground that the supplier filed Form GSTR-1 after September of the succeeding financial year.</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HEADLINE defence (compute-by-date): Sections 16(5)/16(6) were inserted by the Finance (No.2) Act 2024 with retrospective effect from 01.07.2017 and notified by Notification 17/2024-CT dated 27.09.2024. Section 16(5) allows ITC for FY 2017-18 to FY 2020-21 if taken in any return filed up to 30.11.2021, notwithstanding Section 16(4). CONFIRM the financial year falls within this window and that the credit was taken by 30.11.2021. See Circular 237/31/2024-GST dated 15.10.2024.</w:t>
      </w:r>
    </w:p>
    <w:p>
      <w:pPr>
        <w:spacing w:after="80"/>
        <w:jc w:val="both"/>
      </w:pPr>
      <w:r>
        <w:rPr>
          <w:rFonts w:ascii="Times New Roman" w:cs="Times New Roman" w:eastAsia="Times New Roman" w:hAnsi="Times New Roman"/>
          <w:i/>
          <w:iCs/>
          <w:sz w:val="24"/>
          <w:szCs w:val="24"/>
        </w:rPr>
        <w:t xml:space="preserve">If an order already exists confirming the 16(4) demand and no appeal has been filed, use the special rectification procedure under Notification 22/2024-CT dated 08.10.2024 instead of/with this reply — confirm the application window before relying on it.</w:t>
      </w:r>
    </w:p>
    <w:p>
      <w:pPr>
        <w:spacing w:after="80"/>
        <w:jc w:val="both"/>
      </w:pPr>
      <w:r>
        <w:rPr>
          <w:rFonts w:ascii="Times New Roman" w:cs="Times New Roman" w:eastAsia="Times New Roman" w:hAnsi="Times New Roman"/>
          <w:i/>
          <w:iCs/>
          <w:sz w:val="24"/>
          <w:szCs w:val="24"/>
        </w:rPr>
        <w:t xml:space="preserve">Section 150 of the Finance (No.2) Act 2024 bars refund of tax already paid or ITC already reversed on account of the retrospective insertion; the benefit is to vacate live demands, not to obtain a refund.</w:t>
      </w:r>
    </w:p>
    <w:p>
      <w:pPr>
        <w:spacing w:after="80"/>
        <w:jc w:val="both"/>
      </w:pPr>
      <w:r>
        <w:rPr>
          <w:rFonts w:ascii="Times New Roman" w:cs="Times New Roman" w:eastAsia="Times New Roman" w:hAnsi="Times New Roman"/>
          <w:i/>
          <w:iCs/>
          <w:sz w:val="24"/>
          <w:szCs w:val="24"/>
        </w:rPr>
        <w:t xml:space="preserve">Secondary lever: a bona fide recipient cannot be denied ITC for the supplier’s late filing of GSTR-1 — see the reading-down of Section 16(2)(aa) in McLeod Russel India Ltd (Gauhati High Court, 09.12.2025); note the contrary line in some High Courts. Standing-rule circulars for mismatch — 183/15/2022-GST and 193/05/2023-GST — are included for completeness.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disallowance proceeds solely on the time limit in Section 16(4). That limit no longer governs the periods in question: by the Finance (No.2) Act 2024, Section 16(5) was inserted with retrospective effect to permit input tax credit for the financial years 2017-18 to 2020-21 where the credit was taken in a return furnished up to 30 November 2021, notwithstanding Section 16(4). The credit in question falls within this dispensation. Without prejudice, the recipient cannot be denied credit for the supplier’s default in the timing of its outward return.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16(5) overrides the Section 16(4) time bar. </w:t>
      </w:r>
      <w:r>
        <w:rPr>
          <w:rFonts w:ascii="Times New Roman" w:cs="Times New Roman" w:eastAsia="Times New Roman" w:hAnsi="Times New Roman"/>
          <w:sz w:val="24"/>
          <w:szCs w:val="24"/>
        </w:rPr>
        <w:t xml:space="preserve">Section 16(5), inserted by the Finance (No.2) Act 2024 with effect from 01.07.2017 and brought into force by Notification 17/2024-Central Tax dated 27.09.2024, provides that, notwithstanding Section 16(4), in respect of an invoice or debit note for the financial years 2017-18, 2018-19, 2019-20 and 2020-21, a registered person shall be entitled to take input tax credit in any return under Section 39 filed up to 30 November 2021. The credit disallowed by the notice was taken within this window and is therefore admissible.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 has directed implementation. </w:t>
      </w:r>
      <w:r>
        <w:rPr>
          <w:rFonts w:ascii="Times New Roman" w:cs="Times New Roman" w:eastAsia="Times New Roman" w:hAnsi="Times New Roman"/>
          <w:sz w:val="24"/>
          <w:szCs w:val="24"/>
        </w:rPr>
        <w:t xml:space="preserve">Circular 237/31/2024-GST dated 15.10.2024 directs the field formations to give effect to Sections 16(5)/16(6), and Notification 22/2024-Central Tax dated 08.10.2024 prescribes a special procedure for rectification of orders that confirmed demands now rendered inadmissible by these provisions. A demand resting only on Section 16(4) for these periods cannot survive.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Recipient not to suffer for the supplier’s timing default. </w:t>
      </w:r>
      <w:r>
        <w:rPr>
          <w:rFonts w:ascii="Times New Roman" w:cs="Times New Roman" w:eastAsia="Times New Roman" w:hAnsi="Times New Roman"/>
          <w:sz w:val="24"/>
          <w:szCs w:val="24"/>
        </w:rPr>
        <w:t xml:space="preserve">Where the noticee holds a valid tax invoice, has received the supply, has paid the supplier including tax, and the supply stands reflected, credit cannot be denied merely because the supplier filed its Form GSTR-1 belatedly. The recipient has no control over the supplier’s filing and cannot be visited with the consequences of the supplier’s default.</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Mismatch clarifications. </w:t>
      </w:r>
      <w:r>
        <w:rPr>
          <w:rFonts w:ascii="Times New Roman" w:cs="Times New Roman" w:eastAsia="Times New Roman" w:hAnsi="Times New Roman"/>
          <w:sz w:val="24"/>
          <w:szCs w:val="24"/>
        </w:rPr>
        <w:t xml:space="preserve">To the extent the disallowance rests on any difference between Form GSTR-2A and Form GSTR-3B, the procedure in Circulars 183/15/2022-GST dated 27.12.2022 and 193/05/2023-GST dated 17.07.2023 — verification through the supplier and certificates — must first be followed, and credit cannot be denied solely on such a difference.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and the input tax credit of Rs. ____ be allowed under Section 16(5); and that an opportunity of personal hearing be granted before any adverse order is passed.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2026-06-14T02:47:43.646Z</dcterms:created>
  <dcterms:modified xsi:type="dcterms:W3CDTF">2026-06-14T02:47:43.647Z</dcterms:modified>
</cp:coreProperties>
</file>

<file path=docProps/custom.xml><?xml version="1.0" encoding="utf-8"?>
<Properties xmlns="http://schemas.openxmlformats.org/officeDocument/2006/custom-properties" xmlns:vt="http://schemas.openxmlformats.org/officeDocument/2006/docPropsVTypes"/>
</file>