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Proper Officer,</w:t>
      </w:r>
    </w:p>
    <w:p>
      <w:pPr>
        <w:spacing w:after="160"/>
        <w:jc w:val="left"/>
      </w:pPr>
      <w:r>
        <w:rPr>
          <w:rFonts w:ascii="Times New Roman" w:cs="Times New Roman" w:eastAsia="Times New Roman" w:hAnsi="Times New Roman"/>
          <w:sz w:val="24"/>
          <w:szCs w:val="24"/>
        </w:rPr>
        <w:t xml:space="preserve">[Ward / Range], Goods and Services Tax, [State]</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Reference (SCN, Form DRC-01)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in Form DRC-01 under Section 16(2)(c) disallowing input tax credit of Rs. ____ on the ground that the supplier M/s ________ did not deposit the tax / file returns for the period July 2017 to July 2018, with interest under Section 50 and penalty under Section 122(2) proposed.</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Strategic levers: (1) the period is FY 2017-18 to July 2018 — before Rule 36(4) (09.10.2019) and before Section 16(2)(aa)/GSTR-2B (01.01.2022); the pro-taxpayer line applies squarely. (2) Credit of a bona fide recipient cannot be reversed without first investigating and recovering from the defaulting supplier. (3) Interest and Section 122(2) penalty require fraud/collusion, which is not alleged.</w:t>
      </w:r>
    </w:p>
    <w:p>
      <w:pPr>
        <w:spacing w:after="80"/>
        <w:jc w:val="both"/>
      </w:pPr>
      <w:r>
        <w:rPr>
          <w:rFonts w:ascii="Times New Roman" w:cs="Times New Roman" w:eastAsia="Times New Roman" w:hAnsi="Times New Roman"/>
          <w:i/>
          <w:iCs/>
          <w:sz w:val="24"/>
          <w:szCs w:val="24"/>
        </w:rPr>
        <w:t xml:space="preserve">Lead with the operative High Court rulings (Suncraft — Calcutta HC; D.Y. Beathel — Madras HC) and Circular 183/15/2022-GST, NOT the Suncraft SLP — the Supreme Court dismissed that SLP on low-tax-effect grounds (15.12.2023), so it is not a binding declaration of law.</w:t>
      </w:r>
    </w:p>
    <w:p>
      <w:pPr>
        <w:spacing w:after="80"/>
        <w:jc w:val="both"/>
      </w:pPr>
      <w:r>
        <w:rPr>
          <w:rFonts w:ascii="Times New Roman" w:cs="Times New Roman" w:eastAsia="Times New Roman" w:hAnsi="Times New Roman"/>
          <w:i/>
          <w:iCs/>
          <w:sz w:val="24"/>
          <w:szCs w:val="24"/>
        </w:rPr>
        <w:t xml:space="preserve">Live apex matter: the constitutional validity of Section 16(2)(c) is now before the Supreme Court (Prime Metals, SLP(C) 18577/2026). Re-check status before filing. Note the contrary High Court line (Aastha Enterprises — Patna; Gujarat HC) — the issue is genuinely unsettled.</w:t>
      </w:r>
    </w:p>
    <w:p>
      <w:pPr>
        <w:spacing w:after="80"/>
        <w:jc w:val="both"/>
      </w:pPr>
      <w:r>
        <w:rPr>
          <w:rFonts w:ascii="Times New Roman" w:cs="Times New Roman" w:eastAsia="Times New Roman" w:hAnsi="Times New Roman"/>
          <w:i/>
          <w:iCs/>
          <w:sz w:val="24"/>
          <w:szCs w:val="24"/>
        </w:rPr>
        <w:t xml:space="preserve">Follow the Circular 183 mechanism: supplier declaration where the per-supplier amount is up to Rs. 5 lakh, CA/CMA certificate where it exceeds Rs. 5 lakh. Annex the relevant proof.</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disallowance rests solely on the supplier’s alleged failure to deposit tax. The noticee is a bona fide recipient: it holds a valid tax invoice, has received the supply, and has paid the supplier including the tax. For the period in question, input tax credit cannot be reversed at the recipient’s end merely because of a default by the supplier, without the Department first proceeding against the supplier; and no interest or penalty can be fastened absent any allegation of fraud or collusion.</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Bona fide recipient — the conditions of Section 16(2) are satisfied. </w:t>
      </w:r>
      <w:r>
        <w:rPr>
          <w:rFonts w:ascii="Times New Roman" w:cs="Times New Roman" w:eastAsia="Times New Roman" w:hAnsi="Times New Roman"/>
          <w:sz w:val="24"/>
          <w:szCs w:val="24"/>
        </w:rPr>
        <w:t xml:space="preserve">The noticee holds the tax invoice (Section 16(2)(a)), has received the goods/services (Section 16(2)(b)), and has paid the supplier including tax. The default, if any, is the supplier’s alone.</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Recovery must first be made from the defaulting supplier. </w:t>
      </w:r>
      <w:r>
        <w:rPr>
          <w:rFonts w:ascii="Times New Roman" w:cs="Times New Roman" w:eastAsia="Times New Roman" w:hAnsi="Times New Roman"/>
          <w:sz w:val="24"/>
          <w:szCs w:val="24"/>
        </w:rPr>
        <w:t xml:space="preserve">Where a supplier has collected but not remitted tax, the Department must proceed against the supplier; the recipient’s credit cannot be reversed without examining and recovering from the supplier. This was so held by the Madras High Court in D.Y. Beathel Enterprises v. State Tax Officer (24.02.2021) and by the Calcutta High Court in Suncraft Energy Pvt. Ltd. v. Assistant Commissioner (2023), where reversal at the recipient’s end was held to be a last resort confined to exceptional cases such as a missing or closed supplier.</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No vicarious liability without fraud or collusion. </w:t>
      </w:r>
      <w:r>
        <w:rPr>
          <w:rFonts w:ascii="Times New Roman" w:cs="Times New Roman" w:eastAsia="Times New Roman" w:hAnsi="Times New Roman"/>
          <w:sz w:val="24"/>
          <w:szCs w:val="24"/>
        </w:rPr>
        <w:t xml:space="preserve">Liability for a supplier’s default cannot be fastened on a recipient who is not party to any fraud or collusion. The principle that a bona fide purchaser cannot be denied credit was applied in On Quest Merchandising / Arise India (Delhi High Court), where Section 9(2)(g) of the DVAT Act was read down to exclude bona fide purchasers; the Special Leave Petition against that ruling was dismissed.</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Circular 183/15/2022-GST governs the verification. </w:t>
      </w:r>
      <w:r>
        <w:rPr>
          <w:rFonts w:ascii="Times New Roman" w:cs="Times New Roman" w:eastAsia="Times New Roman" w:hAnsi="Times New Roman"/>
          <w:sz w:val="24"/>
          <w:szCs w:val="24"/>
        </w:rPr>
        <w:t xml:space="preserve">For differences of this nature in FY 2017-18 and FY 2018-19, Circular 183/15/2022-GST dated 27.12.2022 prescribes the procedure — a supplier declaration where the amount per supplier is up to Rs. 5 lakh, and a certificate of a Chartered Accountant or Cost Accountant where it exceeds Rs. 5 lakh. The noticee has complied / encloses the relevant proof, and credit cannot be denied without following this procedure.</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No interest or penalty. </w:t>
      </w:r>
      <w:r>
        <w:rPr>
          <w:rFonts w:ascii="Times New Roman" w:cs="Times New Roman" w:eastAsia="Times New Roman" w:hAnsi="Times New Roman"/>
          <w:sz w:val="24"/>
          <w:szCs w:val="24"/>
        </w:rPr>
        <w:t xml:space="preserve">Interest under Section 50 and penalty under Section 122(2) presuppose a wrongful or fraudulent claim. There being no allegation, much less proof, of fraud or collusion between the noticee and the supplier, neither interest nor penalty is exigible.</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Show Cause Notice be dropped, the input tax credit be allowed, and the proposed interest and penalty be not imposed; and that an opportunity of personal hearing be granted before any adverse order.</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2026-06-14T03:19:47.718Z</dcterms:created>
  <dcterms:modified xsi:type="dcterms:W3CDTF">2026-06-14T03:19:47.733Z</dcterms:modified>
</cp:coreProperties>
</file>

<file path=docProps/custom.xml><?xml version="1.0" encoding="utf-8"?>
<Properties xmlns="http://schemas.openxmlformats.org/officeDocument/2006/custom-properties" xmlns:vt="http://schemas.openxmlformats.org/officeDocument/2006/docPropsVTypes"/>
</file>