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4"/>
          <w:szCs w:val="24"/>
        </w:rPr>
        <w:t xml:space="preserve">Conditions for Taking Input Tax Credit under Section 16 — A Practical Note</w:t>
      </w:r>
    </w:p>
    <w:p>
      <w:pPr>
        <w:spacing w:after="20"/>
        <w:jc w:val="left"/>
      </w:pPr>
      <w:r>
        <w:rPr>
          <w:rFonts w:ascii="Times New Roman" w:cs="Times New Roman" w:eastAsia="Times New Roman" w:hAnsi="Times New Roman"/>
          <w:sz w:val="24"/>
          <w:szCs w:val="24"/>
        </w:rPr>
        <w:t xml:space="preserve">To: The Management, M/s ________________</w:t>
      </w:r>
    </w:p>
    <w:p>
      <w:pPr>
        <w:spacing w:after="20"/>
        <w:jc w:val="left"/>
      </w:pPr>
      <w:r>
        <w:rPr>
          <w:rFonts w:ascii="Times New Roman" w:cs="Times New Roman" w:eastAsia="Times New Roman" w:hAnsi="Times New Roman"/>
          <w:sz w:val="24"/>
          <w:szCs w:val="24"/>
        </w:rPr>
        <w:t xml:space="preserve">From: M/s Notice Desk Private Limited</w:t>
      </w:r>
    </w:p>
    <w:p>
      <w:pPr>
        <w:spacing w:after="160"/>
        <w:jc w:val="left"/>
      </w:pPr>
      <w:r>
        <w:rPr>
          <w:rFonts w:ascii="Times New Roman" w:cs="Times New Roman" w:eastAsia="Times New Roman" w:hAnsi="Times New Roman"/>
          <w:sz w:val="24"/>
          <w:szCs w:val="24"/>
        </w:rPr>
        <w:t xml:space="preserve">Date: ____________</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This is a client advisory, not a litigation reply. It states the position current as of 2026. Tailor the entity name and remove this note before issue.</w:t>
      </w:r>
    </w:p>
    <w:p>
      <w:pPr>
        <w:spacing w:after="80"/>
      </w:pPr>
      <w:r>
        <w:rPr>
          <w:rFonts w:ascii="Times New Roman" w:cs="Times New Roman" w:eastAsia="Times New Roman" w:hAnsi="Times New Roman"/>
          <w:sz w:val="24"/>
          <w:szCs w:val="24"/>
        </w:rPr>
        <w:t xml:space="preserve"/>
      </w:r>
    </w:p>
    <w:p>
      <w:pPr>
        <w:spacing w:after="160" w:line="276"/>
        <w:jc w:val="both"/>
      </w:pPr>
      <w:r>
        <w:rPr>
          <w:rFonts w:ascii="Times New Roman" w:cs="Times New Roman" w:eastAsia="Times New Roman" w:hAnsi="Times New Roman"/>
          <w:sz w:val="24"/>
          <w:szCs w:val="24"/>
        </w:rPr>
        <w:t xml:space="preserve">This note explains, in plain terms, when your business is entitled to take input tax credit (ITC) on its purchases, and the conditions you must satisfy under the present law.</w:t>
      </w:r>
    </w:p>
    <w:p>
      <w:pPr>
        <w:spacing w:after="120" w:before="160"/>
        <w:jc w:val="left"/>
      </w:pPr>
      <w:r>
        <w:rPr>
          <w:rFonts w:ascii="Times New Roman" w:cs="Times New Roman" w:eastAsia="Times New Roman" w:hAnsi="Times New Roman"/>
          <w:b/>
          <w:bCs/>
          <w:sz w:val="24"/>
          <w:szCs w:val="24"/>
        </w:rPr>
        <w:t xml:space="preserve">1. Who can take credit</w:t>
      </w:r>
    </w:p>
    <w:p>
      <w:pPr>
        <w:spacing w:after="160" w:line="276"/>
        <w:jc w:val="both"/>
      </w:pPr>
      <w:r>
        <w:rPr>
          <w:rFonts w:ascii="Times New Roman" w:cs="Times New Roman" w:eastAsia="Times New Roman" w:hAnsi="Times New Roman"/>
          <w:sz w:val="24"/>
          <w:szCs w:val="24"/>
        </w:rPr>
        <w:t xml:space="preserve">Every registered person (other than one under the composition scheme in Section 10) may take credit of the tax on inward supplies of goods or services that are used or intended to be used in the course or furtherance of business. Purchases for personal or non-business use do not qualify, even if your GSTIN appears on the invoice and the entry shows in your GSTR-2B.</w:t>
      </w:r>
    </w:p>
    <w:p>
      <w:pPr>
        <w:spacing w:after="120" w:before="160"/>
        <w:jc w:val="left"/>
      </w:pPr>
      <w:r>
        <w:rPr>
          <w:rFonts w:ascii="Times New Roman" w:cs="Times New Roman" w:eastAsia="Times New Roman" w:hAnsi="Times New Roman"/>
          <w:b/>
          <w:bCs/>
          <w:sz w:val="24"/>
          <w:szCs w:val="24"/>
        </w:rPr>
        <w:t xml:space="preserve">2. The five conditions to be satisfied</w:t>
      </w:r>
    </w:p>
    <w:p>
      <w:pPr>
        <w:pStyle w:val="ListParagraph"/>
        <w:numPr>
          <w:ilvl w:val="0"/>
          <w:numId w:val="2"/>
        </w:numPr>
        <w:spacing w:after="120" w:line="276"/>
        <w:jc w:val="both"/>
      </w:pPr>
      <w:r>
        <w:rPr>
          <w:rFonts w:ascii="Times New Roman" w:cs="Times New Roman" w:eastAsia="Times New Roman" w:hAnsi="Times New Roman"/>
          <w:b/>
          <w:bCs/>
          <w:sz w:val="24"/>
          <w:szCs w:val="24"/>
        </w:rPr>
        <w:t xml:space="preserve">Tax-paying document — </w:t>
      </w:r>
      <w:r>
        <w:rPr>
          <w:rFonts w:ascii="Times New Roman" w:cs="Times New Roman" w:eastAsia="Times New Roman" w:hAnsi="Times New Roman"/>
          <w:sz w:val="24"/>
          <w:szCs w:val="24"/>
        </w:rPr>
        <w:t xml:space="preserve">you must hold a valid tax invoice, debit note, bill of entry (for imports), or, for reverse-charge supplies, your own self-invoice [Section 16(2)(a)].</w:t>
      </w:r>
    </w:p>
    <w:p>
      <w:pPr>
        <w:pStyle w:val="ListParagraph"/>
        <w:numPr>
          <w:ilvl w:val="0"/>
          <w:numId w:val="2"/>
        </w:numPr>
        <w:spacing w:after="120" w:line="276"/>
        <w:jc w:val="both"/>
      </w:pPr>
      <w:r>
        <w:rPr>
          <w:rFonts w:ascii="Times New Roman" w:cs="Times New Roman" w:eastAsia="Times New Roman" w:hAnsi="Times New Roman"/>
          <w:b/>
          <w:bCs/>
          <w:sz w:val="24"/>
          <w:szCs w:val="24"/>
        </w:rPr>
        <w:t xml:space="preserve">Appears in GSTR-2B — </w:t>
      </w:r>
      <w:r>
        <w:rPr>
          <w:rFonts w:ascii="Times New Roman" w:cs="Times New Roman" w:eastAsia="Times New Roman" w:hAnsi="Times New Roman"/>
          <w:sz w:val="24"/>
          <w:szCs w:val="24"/>
        </w:rPr>
        <w:t xml:space="preserve">the invoice must have been furnished by your supplier in GSTR-1 / IFF and communicated to you in GSTR-2B. Since 01.01.2022, credit is available only to the extent it is reflected in your GSTR-2B; the earlier provisional-credit facility under Rule 36(4) (the 20% / 10% / 5% tolerances) has been withdrawn [Section 16(2)(aa)].</w:t>
      </w:r>
    </w:p>
    <w:p>
      <w:pPr>
        <w:pStyle w:val="ListParagraph"/>
        <w:numPr>
          <w:ilvl w:val="0"/>
          <w:numId w:val="2"/>
        </w:numPr>
        <w:spacing w:after="120" w:line="276"/>
        <w:jc w:val="both"/>
      </w:pPr>
      <w:r>
        <w:rPr>
          <w:rFonts w:ascii="Times New Roman" w:cs="Times New Roman" w:eastAsia="Times New Roman" w:hAnsi="Times New Roman"/>
          <w:b/>
          <w:bCs/>
          <w:sz w:val="24"/>
          <w:szCs w:val="24"/>
        </w:rPr>
        <w:t xml:space="preserve">Not restricted under Section 38 — </w:t>
      </w:r>
      <w:r>
        <w:rPr>
          <w:rFonts w:ascii="Times New Roman" w:cs="Times New Roman" w:eastAsia="Times New Roman" w:hAnsi="Times New Roman"/>
          <w:sz w:val="24"/>
          <w:szCs w:val="24"/>
        </w:rPr>
        <w:t xml:space="preserve">the credit must not be one flagged as restricted in the auto-generated statement [Section 16(2)(ba)].</w:t>
      </w:r>
    </w:p>
    <w:p>
      <w:pPr>
        <w:pStyle w:val="ListParagraph"/>
        <w:numPr>
          <w:ilvl w:val="0"/>
          <w:numId w:val="2"/>
        </w:numPr>
        <w:spacing w:after="120" w:line="276"/>
        <w:jc w:val="both"/>
      </w:pPr>
      <w:r>
        <w:rPr>
          <w:rFonts w:ascii="Times New Roman" w:cs="Times New Roman" w:eastAsia="Times New Roman" w:hAnsi="Times New Roman"/>
          <w:b/>
          <w:bCs/>
          <w:sz w:val="24"/>
          <w:szCs w:val="24"/>
        </w:rPr>
        <w:t xml:space="preserve">Receipt of supply — </w:t>
      </w:r>
      <w:r>
        <w:rPr>
          <w:rFonts w:ascii="Times New Roman" w:cs="Times New Roman" w:eastAsia="Times New Roman" w:hAnsi="Times New Roman"/>
          <w:sz w:val="24"/>
          <w:szCs w:val="24"/>
        </w:rPr>
        <w:t xml:space="preserve">you must have received the goods or services. If you hold the invoice but the goods arrive in the next month, the credit belongs to the month of receipt [Section 16(2)(b)].</w:t>
      </w:r>
    </w:p>
    <w:p>
      <w:pPr>
        <w:pStyle w:val="ListParagraph"/>
        <w:numPr>
          <w:ilvl w:val="0"/>
          <w:numId w:val="2"/>
        </w:numPr>
        <w:spacing w:after="120" w:line="276"/>
        <w:jc w:val="both"/>
      </w:pPr>
      <w:r>
        <w:rPr>
          <w:rFonts w:ascii="Times New Roman" w:cs="Times New Roman" w:eastAsia="Times New Roman" w:hAnsi="Times New Roman"/>
          <w:b/>
          <w:bCs/>
          <w:sz w:val="24"/>
          <w:szCs w:val="24"/>
        </w:rPr>
        <w:t xml:space="preserve">Tax actually paid and your return filed — </w:t>
      </w:r>
      <w:r>
        <w:rPr>
          <w:rFonts w:ascii="Times New Roman" w:cs="Times New Roman" w:eastAsia="Times New Roman" w:hAnsi="Times New Roman"/>
          <w:sz w:val="24"/>
          <w:szCs w:val="24"/>
        </w:rPr>
        <w:t xml:space="preserve">the tax on the supply must have reached the Government, and you must have filed your GSTR-3B for the period [Section 16(2)(c) and (d)].</w:t>
      </w:r>
    </w:p>
    <w:p>
      <w:pPr>
        <w:spacing w:after="160" w:line="276"/>
        <w:jc w:val="both"/>
      </w:pPr>
      <w:r>
        <w:rPr>
          <w:rFonts w:ascii="Times New Roman" w:cs="Times New Roman" w:eastAsia="Times New Roman" w:hAnsi="Times New Roman"/>
          <w:i/>
          <w:iCs/>
          <w:sz w:val="24"/>
          <w:szCs w:val="24"/>
        </w:rPr>
        <w:t xml:space="preserve">Example: you buy goods on 30 November (invoice dated 30 November) but receive them on 3 December. You may take the credit only in December (return filed by 20 January), because credit cannot be taken before receipt of the goods.</w:t>
      </w:r>
    </w:p>
    <w:p>
      <w:pPr>
        <w:spacing w:after="120" w:before="160"/>
        <w:jc w:val="left"/>
      </w:pPr>
      <w:r>
        <w:rPr>
          <w:rFonts w:ascii="Times New Roman" w:cs="Times New Roman" w:eastAsia="Times New Roman" w:hAnsi="Times New Roman"/>
          <w:b/>
          <w:bCs/>
          <w:sz w:val="24"/>
          <w:szCs w:val="24"/>
        </w:rPr>
        <w:t xml:space="preserve">3. Track your supplier</w:t>
      </w:r>
    </w:p>
    <w:p>
      <w:pPr>
        <w:spacing w:after="160" w:line="276"/>
        <w:jc w:val="both"/>
      </w:pPr>
      <w:r>
        <w:rPr>
          <w:rFonts w:ascii="Times New Roman" w:cs="Times New Roman" w:eastAsia="Times New Roman" w:hAnsi="Times New Roman"/>
          <w:sz w:val="24"/>
          <w:szCs w:val="24"/>
        </w:rPr>
        <w:t xml:space="preserve">Because credit now flows from GSTR-2B, your supplier must file GSTR-1 on time (by the 11th of the next month for a monthly filer, or the 13th for a quarterly/QRMP filer) so that the invoice appears in your GSTR-2B (generated on the 14th). If the supplier delays, you cannot take the credit for that month even though you hold the invoice and have received the goods. Track and remind your suppliers.</w:t>
      </w:r>
    </w:p>
    <w:p>
      <w:pPr>
        <w:spacing w:after="120" w:before="160"/>
        <w:jc w:val="left"/>
      </w:pPr>
      <w:r>
        <w:rPr>
          <w:rFonts w:ascii="Times New Roman" w:cs="Times New Roman" w:eastAsia="Times New Roman" w:hAnsi="Times New Roman"/>
          <w:b/>
          <w:bCs/>
          <w:sz w:val="24"/>
          <w:szCs w:val="24"/>
        </w:rPr>
        <w:t xml:space="preserve">4. The Invoice Management System (IMS)</w:t>
      </w:r>
    </w:p>
    <w:p>
      <w:pPr>
        <w:spacing w:after="160" w:line="276"/>
        <w:jc w:val="both"/>
      </w:pPr>
      <w:r>
        <w:rPr>
          <w:rFonts w:ascii="Times New Roman" w:cs="Times New Roman" w:eastAsia="Times New Roman" w:hAnsi="Times New Roman"/>
          <w:sz w:val="24"/>
          <w:szCs w:val="24"/>
        </w:rPr>
        <w:t xml:space="preserve">Since October 2024 the portal provides an Invoice Management System. Invoices uploaded by your suppliers appear in IMS, where you may Accept, Reject, or keep them Pending. Only accepted (or deemed-accepted) records flow into your GSTR-2B and then your GSTR-3B. If you take no action, an invoice is deemed accepted. Review IMS before each return so that your GSTR-2B is correct.</w:t>
      </w:r>
    </w:p>
    <w:p>
      <w:pPr>
        <w:spacing w:after="120" w:before="160"/>
        <w:jc w:val="left"/>
      </w:pPr>
      <w:r>
        <w:rPr>
          <w:rFonts w:ascii="Times New Roman" w:cs="Times New Roman" w:eastAsia="Times New Roman" w:hAnsi="Times New Roman"/>
          <w:b/>
          <w:bCs/>
          <w:sz w:val="24"/>
          <w:szCs w:val="24"/>
        </w:rPr>
        <w:t xml:space="preserve">5. Supplier must also pay the tax — Rule 37A</w:t>
      </w:r>
    </w:p>
    <w:p>
      <w:pPr>
        <w:spacing w:after="160" w:line="276"/>
        <w:jc w:val="both"/>
      </w:pPr>
      <w:r>
        <w:rPr>
          <w:rFonts w:ascii="Times New Roman" w:cs="Times New Roman" w:eastAsia="Times New Roman" w:hAnsi="Times New Roman"/>
          <w:sz w:val="24"/>
          <w:szCs w:val="24"/>
        </w:rPr>
        <w:t xml:space="preserve">Even after the invoice appears in your GSTR-2B, your supplier must actually pay the tax by filing its GSTR-3B. Under Rule 37A, if the supplier has not filed its GSTR-3B for the relevant period by 30 September following the financial year, you must reverse the corresponding credit by 30 November following that year; you may re-take it once the supplier later files. Separately, if you do not pay your supplier within 180 days, the credit must be reversed and re-taken on payment (Rule 37).</w:t>
      </w:r>
    </w:p>
    <w:p>
      <w:pPr>
        <w:spacing w:after="120" w:before="160"/>
        <w:jc w:val="left"/>
      </w:pPr>
      <w:r>
        <w:rPr>
          <w:rFonts w:ascii="Times New Roman" w:cs="Times New Roman" w:eastAsia="Times New Roman" w:hAnsi="Times New Roman"/>
          <w:b/>
          <w:bCs/>
          <w:sz w:val="24"/>
          <w:szCs w:val="24"/>
        </w:rPr>
        <w:t xml:space="preserve">6. Time limit — Section 16(4), and the relief in Section 16(5)/16(6)</w:t>
      </w:r>
    </w:p>
    <w:p>
      <w:pPr>
        <w:spacing w:after="160" w:line="276"/>
        <w:jc w:val="both"/>
      </w:pPr>
      <w:r>
        <w:rPr>
          <w:rFonts w:ascii="Times New Roman" w:cs="Times New Roman" w:eastAsia="Times New Roman" w:hAnsi="Times New Roman"/>
          <w:sz w:val="24"/>
          <w:szCs w:val="24"/>
        </w:rPr>
        <w:t xml:space="preserve">Ordinarily, credit for a financial year must be taken by the earlier of 30 November following that year or the date of filing the annual return [Section 16(4)]. By the Finance (No.2) Act 2024, for the financial years 2017-18 to 2020-21, credit taken in any return filed up to 30 November 2021 is protected notwithstanding Section 16(4) [Section 16(5)], and credit is also preserved for the period between cancellation and revocation of registration in the circumstances in Section 16(6). Note that no refund is available of tax already paid or credit already reversed even if it now becomes eligible under these provisions.</w:t>
      </w:r>
    </w:p>
    <w:p>
      <w:pPr>
        <w:spacing w:after="160" w:line="276"/>
        <w:jc w:val="both"/>
      </w:pPr>
      <w:r>
        <w:rPr>
          <w:rFonts w:ascii="Times New Roman" w:cs="Times New Roman" w:eastAsia="Times New Roman" w:hAnsi="Times New Roman"/>
          <w:i/>
          <w:iCs/>
          <w:sz w:val="24"/>
          <w:szCs w:val="24"/>
        </w:rPr>
        <w:t xml:space="preserve">This note is general guidance and not a substitute for case-specific advice. Please consult us on any particular transaction.</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2026-06-14T03:19:47.935Z</dcterms:created>
  <dcterms:modified xsi:type="dcterms:W3CDTF">2026-06-14T03:19:47.935Z</dcterms:modified>
</cp:coreProperties>
</file>

<file path=docProps/custom.xml><?xml version="1.0" encoding="utf-8"?>
<Properties xmlns="http://schemas.openxmlformats.org/officeDocument/2006/custom-properties" xmlns:vt="http://schemas.openxmlformats.org/officeDocument/2006/docPropsVTypes"/>
</file>