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w:t>
      </w:r>
    </w:p>
    <w:p>
      <w:pPr>
        <w:spacing w:after="160"/>
        <w:jc w:val="left"/>
      </w:pPr>
      <w:r>
        <w:rPr>
          <w:rFonts w:ascii="Times New Roman" w:cs="Times New Roman" w:eastAsia="Times New Roman" w:hAnsi="Times New Roman"/>
          <w:sz w:val="24"/>
          <w:szCs w:val="24"/>
        </w:rPr>
        <w:t xml:space="preserve">Central Goods and Services Tax, [Division]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(RFD-08)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RFD-08 proposing rejection of the refund application as time-barred under Section 54.</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(statutory and directly on point): Notification 13/2022-Central Tax dated 05.07.2022, issued under Section 168A, excludes the period 01.03.2020 to 28.02.2022 in computing the limitation for a refund application under Section 54/55. Buttress with the Supreme Court order excluding 15.03.2020 to 28.02.2022.</w:t>
      </w:r>
    </w:p>
    <w:p>
      <w:pPr>
        <w:spacing w:after="80"/>
        <w:jc w:val="both"/>
      </w:pPr>
      <w:r>
        <w:rPr>
          <w:rFonts w:ascii="Times New Roman" w:cs="Times New Roman" w:eastAsia="Times New Roman" w:hAnsi="Times New Roman"/>
          <w:i/>
          <w:iCs/>
          <w:sz w:val="24"/>
          <w:szCs w:val="24"/>
        </w:rPr>
        <w:t xml:space="preserve">Compute the relevant date for each tranche; with the exclusion applied, demonstrate the application is within two years. The earliest tranche (June 2018) remains within time once the excluded window is removed.</w:t>
      </w:r>
    </w:p>
    <w:p>
      <w:pPr>
        <w:spacing w:after="80"/>
        <w:jc w:val="both"/>
      </w:pPr>
      <w:r>
        <w:rPr>
          <w:rFonts w:ascii="Times New Roman" w:cs="Times New Roman" w:eastAsia="Times New Roman" w:hAnsi="Times New Roman"/>
          <w:i/>
          <w:iCs/>
          <w:sz w:val="24"/>
          <w:szCs w:val="24"/>
        </w:rPr>
        <w:t xml:space="preserve">Placeholders: relevant dates per tranche, RFD-01 ARN, period, amount.</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application is within time. The period 01.03.2020 to 28.02.2022 is excluded by law in computing the two-year limitation under Section 54, both by Notification 13/2022-Central Tax and by the order of the Supreme Court on the extension of limitation. Once that window is removed, the application filed on ________ is within two years of the relevant date for each tranche.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Statutory exclusion under Notification 13/2022-Central Tax. </w:t>
      </w:r>
      <w:r>
        <w:rPr>
          <w:rFonts w:ascii="Times New Roman" w:cs="Times New Roman" w:eastAsia="Times New Roman" w:hAnsi="Times New Roman"/>
          <w:sz w:val="24"/>
          <w:szCs w:val="24"/>
        </w:rPr>
        <w:t xml:space="preserve">By Notification 13/2022-Central Tax dated 05.07.2022 (G.S.R. 516(E)), issued in exercise of the power under Section 168A, the Government excluded the period from 01.03.2020 to 28.02.2022 “for computation of period of limitation for filing refund application under section 54 or section 55 of the said Act”. The limitation for the noticee’s claim is to be computed after excluding this window.</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Supreme Court’s exclusion of limitation. </w:t>
      </w:r>
      <w:r>
        <w:rPr>
          <w:rFonts w:ascii="Times New Roman" w:cs="Times New Roman" w:eastAsia="Times New Roman" w:hAnsi="Times New Roman"/>
          <w:sz w:val="24"/>
          <w:szCs w:val="24"/>
        </w:rPr>
        <w:t xml:space="preserve">In In re: Cognizance for Extension of Limitation, the Supreme Court, by its order dated 10.01.2022, directed that the period from 15.03.2020 to 28.02.2022 shall stand excluded for the purposes of limitation in all judicial and quasi-judicial proceedings. The benefit of this exclusion applies to the noticee’s refund claim.</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Computation. </w:t>
      </w:r>
      <w:r>
        <w:rPr>
          <w:rFonts w:ascii="Times New Roman" w:cs="Times New Roman" w:eastAsia="Times New Roman" w:hAnsi="Times New Roman"/>
          <w:sz w:val="24"/>
          <w:szCs w:val="24"/>
        </w:rPr>
        <w:t xml:space="preserve">Applying the exclusion, the relevant-date-to-filing interval for each tranche, net of the excluded window, is within two years. The objection that the claim is time-barred is therefore unsustainable. A tranche-wise computation is annexed.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proposed rejection be dropped and the refund of Rs. ____ be sanctioned with applicable interest under Section 56;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2026-06-14T03:19:47.987Z</dcterms:created>
  <dcterms:modified xsi:type="dcterms:W3CDTF">2026-06-14T03:19:47.987Z</dcterms:modified>
</cp:coreProperties>
</file>

<file path=docProps/custom.xml><?xml version="1.0" encoding="utf-8"?>
<Properties xmlns="http://schemas.openxmlformats.org/officeDocument/2006/custom-properties" xmlns:vt="http://schemas.openxmlformats.org/officeDocument/2006/docPropsVTypes"/>
</file>