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w:t>
      </w:r>
    </w:p>
    <w:p>
      <w:pPr>
        <w:spacing w:after="160"/>
        <w:jc w:val="left"/>
      </w:pPr>
      <w:r>
        <w:rPr>
          <w:rFonts w:ascii="Times New Roman" w:cs="Times New Roman" w:eastAsia="Times New Roman" w:hAnsi="Times New Roman"/>
          <w:sz w:val="24"/>
          <w:szCs w:val="24"/>
        </w:rPr>
        <w:t xml:space="preserve">Central Goods and Services Tax, [Division]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DRC-01 alleging input tax credit availed in GSTR-3B in excess of GSTR-2A, where the difference is IGST paid on import of goods.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the so-called excess is IGST paid on import, availed on the bill of entry under Rule 36(1)(d). The Rule 36(4) / GSTR-2A restriction applies only to supplies under Section 37(1) (supplier-uploaded invoices), not to imports; and GSTR-2A by design did not capture import IGST for the earlier years.</w:t>
      </w:r>
    </w:p>
    <w:p>
      <w:pPr>
        <w:spacing w:after="80"/>
        <w:jc w:val="both"/>
      </w:pPr>
      <w:r>
        <w:rPr>
          <w:rFonts w:ascii="Times New Roman" w:cs="Times New Roman" w:eastAsia="Times New Roman" w:hAnsi="Times New Roman"/>
          <w:i/>
          <w:iCs/>
          <w:sz w:val="24"/>
          <w:szCs w:val="24"/>
        </w:rPr>
        <w:t xml:space="preserve">Evidentiary anchor: GSTR-2A began reflecting import data only on a trial basis from around August 2020 (ICEGATE integration); for FY 2017-18 / 2018-19 imports could not appear in GSTR-2A at all. Annex the bills of entry and a reconciliation.</w:t>
      </w:r>
    </w:p>
    <w:p>
      <w:pPr>
        <w:spacing w:after="80"/>
        <w:jc w:val="both"/>
      </w:pPr>
      <w:r>
        <w:rPr>
          <w:rFonts w:ascii="Times New Roman" w:cs="Times New Roman" w:eastAsia="Times New Roman" w:hAnsi="Times New Roman"/>
          <w:i/>
          <w:iCs/>
          <w:sz w:val="24"/>
          <w:szCs w:val="24"/>
        </w:rPr>
        <w:t xml:space="preserve">Recent authority: Biocon Ltd (Karnataka High Court, 30.04.2026) quashed exactly this import-mismatch demand for FY 2018-19. Tag for cite-check before filing.</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difference between GSTR-3B and GSTR-2A is wholly attributable to IGST paid on the import of goods, which the noticee availed on the strength of the bills of entry. Such credit is valid and is not subject to the GSTR-2A matching restriction, which by its terms applies only to supplier-uploaded invoices under Section 37(1). GSTR-2A did not, in any event, reflect import IGST for the relevant period.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IGST on import is input tax. </w:t>
      </w:r>
      <w:r>
        <w:rPr>
          <w:rFonts w:ascii="Times New Roman" w:cs="Times New Roman" w:eastAsia="Times New Roman" w:hAnsi="Times New Roman"/>
          <w:sz w:val="24"/>
          <w:szCs w:val="24"/>
        </w:rPr>
        <w:t xml:space="preserve">Section 2(62)(a) expressly includes “the integrated goods and services tax charged on import of goods” within the meaning of input tax. The credit availed is therefore admissible input tax credit.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bill of entry is the prescribed document. </w:t>
      </w:r>
      <w:r>
        <w:rPr>
          <w:rFonts w:ascii="Times New Roman" w:cs="Times New Roman" w:eastAsia="Times New Roman" w:hAnsi="Times New Roman"/>
          <w:sz w:val="24"/>
          <w:szCs w:val="24"/>
        </w:rPr>
        <w:t xml:space="preserve">Rule 36(1)(d) of the CGST Rules makes a bill of entry (or similar prescribed document under the Customs Act) a valid document for taking credit of integrated tax on imports. The noticee holds and relies upon the relevant bills of entry.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GSTR-2A restriction does not apply to imports. </w:t>
      </w:r>
      <w:r>
        <w:rPr>
          <w:rFonts w:ascii="Times New Roman" w:cs="Times New Roman" w:eastAsia="Times New Roman" w:hAnsi="Times New Roman"/>
          <w:sz w:val="24"/>
          <w:szCs w:val="24"/>
        </w:rPr>
        <w:t xml:space="preserve">Rule 36(4) restricts credit only in respect of “invoices or debit notes the details of which are required to be furnished under sub-section (1) of section 37” — that is, supplier-uploaded outward supplies. A bill of entry is neither an invoice nor a debit note under Section 37, and import IGST falls outside the matching restriction altogether.</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GSTR-2A did not reflect import IGST in the relevant period. </w:t>
      </w:r>
      <w:r>
        <w:rPr>
          <w:rFonts w:ascii="Times New Roman" w:cs="Times New Roman" w:eastAsia="Times New Roman" w:hAnsi="Times New Roman"/>
          <w:sz w:val="24"/>
          <w:szCs w:val="24"/>
        </w:rPr>
        <w:t xml:space="preserve">The facility to display import data in GSTR-2A, drawn from ICEGATE, was introduced only later and on a trial basis from around August 2020. For the period in question, import IGST could not appear in GSTR-2A, and its absence there is no basis to deny credit. Reliance is placed on the decision of the Karnataka High Court in Biocon Ltd (30.04.2026), which set aside an identical import-mismatch demand.</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Show Cause Notice be dropped, the input tax credit on import IGST being valid and outside the GSTR-2A matching restriction; and that an opportunity of personal hearing be granted.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2026-06-14T03:19:48.060Z</dcterms:created>
  <dcterms:modified xsi:type="dcterms:W3CDTF">2026-06-14T03:19:48.060Z</dcterms:modified>
</cp:coreProperties>
</file>

<file path=docProps/custom.xml><?xml version="1.0" encoding="utf-8"?>
<Properties xmlns="http://schemas.openxmlformats.org/officeDocument/2006/custom-properties" xmlns:vt="http://schemas.openxmlformats.org/officeDocument/2006/docPropsVTypes"/>
</file>