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 of Goods and Services Tax,</w:t>
      </w:r>
    </w:p>
    <w:p>
      <w:pPr>
        <w:spacing w:after="160"/>
        <w:jc w:val="left"/>
      </w:pPr>
      <w:r>
        <w:rPr>
          <w:rFonts w:ascii="Times New Roman" w:cs="Times New Roman" w:eastAsia="Times New Roman" w:hAnsi="Times New Roman"/>
          <w:sz w:val="24"/>
          <w:szCs w:val="24"/>
        </w:rPr>
        <w:t xml:space="preserve">[Division],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demanding GST under reverse charge on royalty paid to the State Government for mineral extraction for the period July 2017 onwards, and request to keep the proceedings in abeyance.</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HONEST RISK — the ground has shifted. The earlier “royalty is a tax, hence no GST on a tax” argument has been weakened: the Supreme Court’s 9-Judge Bench in Mineral Area Development Authority v. SAIL (2024 INSC 554, 25.07.2024) held royalty is NOT a tax and overruled India Cements. Post-MADA, some High Courts (Himachal Pradesh, Patna, Rajasthan) have UPHELD GST on royalty. Do not over-plead the “tax-on-tax” point.</w:t>
      </w:r>
    </w:p>
    <w:p>
      <w:pPr>
        <w:spacing w:after="80"/>
        <w:jc w:val="both"/>
      </w:pPr>
      <w:r>
        <w:rPr>
          <w:rFonts w:ascii="Times New Roman" w:cs="Times New Roman" w:eastAsia="Times New Roman" w:hAnsi="Times New Roman"/>
          <w:i/>
          <w:iCs/>
          <w:sz w:val="24"/>
          <w:szCs w:val="24"/>
        </w:rPr>
        <w:t xml:space="preserve">Realistic ask: keep the demand in abeyance pending the Supreme Court’s decision on the GST-on-royalty batch (Udaipur Chambers, SLP(C) 37326/2017, still pending). The interim stays operate in personam — confirm whether the client is a named petitioner with a subsisting stay; if not, the abeyance line (Madras/Jharkhand) is the practical relief.</w:t>
      </w:r>
    </w:p>
    <w:p>
      <w:pPr>
        <w:spacing w:after="80"/>
        <w:jc w:val="both"/>
      </w:pPr>
      <w:r>
        <w:rPr>
          <w:rFonts w:ascii="Times New Roman" w:cs="Times New Roman" w:eastAsia="Times New Roman" w:hAnsi="Times New Roman"/>
          <w:i/>
          <w:iCs/>
          <w:sz w:val="24"/>
          <w:szCs w:val="24"/>
        </w:rPr>
        <w:t xml:space="preserve">Re-check the Supreme Court cause-list immediately before filing. Consider the Section 128A amnesty for interest/penalty for the pre-25.07.2024 period.</w:t>
      </w:r>
    </w:p>
    <w:p>
      <w:pPr>
        <w:spacing w:after="80"/>
        <w:jc w:val="both"/>
      </w:pPr>
      <w:r>
        <w:rPr>
          <w:rFonts w:ascii="Times New Roman" w:cs="Times New Roman" w:eastAsia="Times New Roman" w:hAnsi="Times New Roman"/>
          <w:i/>
          <w:iCs/>
          <w:sz w:val="24"/>
          <w:szCs w:val="24"/>
        </w:rPr>
        <w:t xml:space="preserve">If the client IS a covered petitioner, plead the specific interim order protecting it. The stays cited from 2021 (Lakhwinder Singh, Prime Vision, Trendset Rocks) are interim and period-specific — use them as the historical foundation of the pending batch, not as a present blanket stay.</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leviability of GST under reverse charge on royalty paid for mineral concessions is the subject of a batch of petitions pending before the Supreme Court, in which interim orders have stayed the payment/recovery of such GST. The noticee submits that the present demand ought to be kept in abeyance until the Supreme Court decides the issue, and that no coercive recovery be made in the meantime.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issue is pending before the Supreme Court. </w:t>
      </w:r>
      <w:r>
        <w:rPr>
          <w:rFonts w:ascii="Times New Roman" w:cs="Times New Roman" w:eastAsia="Times New Roman" w:hAnsi="Times New Roman"/>
          <w:sz w:val="24"/>
          <w:szCs w:val="24"/>
        </w:rPr>
        <w:t xml:space="preserve">Whether GST is leviable under reverse charge on royalty for mineral rights is pending before the Supreme Court in a batch of petitions (tagged with SLP(C) No. 37326 of 2017), in which interim orders staying payment/recovery of GST on royalty have been passed. Adjudication and recovery in the interregnum would be premature.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High Courts have stayed/kept such demands in abeyance. </w:t>
      </w:r>
      <w:r>
        <w:rPr>
          <w:rFonts w:ascii="Times New Roman" w:cs="Times New Roman" w:eastAsia="Times New Roman" w:hAnsi="Times New Roman"/>
          <w:sz w:val="24"/>
          <w:szCs w:val="24"/>
        </w:rPr>
        <w:t xml:space="preserve">Following the interim order of the Supreme Court, several High Courts stayed recovery of GST on royalty (including the Allahabad High Court in Prime Vision Industries and the Andhra Pradesh High Court in Trendset Rocks), and have more recently directed that such demands be kept in abeyance until the Supreme Court decides the question.</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prejudice to the revenue. </w:t>
      </w:r>
      <w:r>
        <w:rPr>
          <w:rFonts w:ascii="Times New Roman" w:cs="Times New Roman" w:eastAsia="Times New Roman" w:hAnsi="Times New Roman"/>
          <w:sz w:val="24"/>
          <w:szCs w:val="24"/>
        </w:rPr>
        <w:t xml:space="preserve">Keeping the demand in abeyance occasions no prejudice to the revenue, whose interest is fully protected pending the outcome, whereas recovery now would cause the noticee irreparable hardship on an issue not yet finally settled.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under the Show Cause Notice be kept in abeyance until the Supreme Court decides the leviability of GST on royalty; that no coercive recovery be made in the meantime; and that an opportunity of personal hearing be granted thereafter.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2026-06-14T03:19:48.265Z</dcterms:created>
  <dcterms:modified xsi:type="dcterms:W3CDTF">2026-06-14T03:19:48.266Z</dcterms:modified>
</cp:coreProperties>
</file>

<file path=docProps/custom.xml><?xml version="1.0" encoding="utf-8"?>
<Properties xmlns="http://schemas.openxmlformats.org/officeDocument/2006/custom-properties" xmlns:vt="http://schemas.openxmlformats.org/officeDocument/2006/docPropsVTypes"/>
</file>