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Assistant Commissioner of Goods and Services Tax,</w:t>
      </w:r>
    </w:p>
    <w:p>
      <w:pPr>
        <w:spacing w:after="160"/>
        <w:jc w:val="left"/>
      </w:pPr>
      <w:r>
        <w:rPr>
          <w:rFonts w:ascii="Times New Roman" w:cs="Times New Roman" w:eastAsia="Times New Roman" w:hAnsi="Times New Roman"/>
          <w:sz w:val="24"/>
          <w:szCs w:val="24"/>
        </w:rPr>
        <w:t xml:space="preserve">[Division], [State]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demanding general penalty of Rs. 50,000 under Section 125 for delay in furnishing returns under Section 39.</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late filing of returns carries a specific consequence — late fee under Section 47. The residuary general penalty under Section 125 cannot be invoked where a specific provision governs the default. Concede the Section 47 late fee (automatic); contest only the Section 125 penalty.</w:t>
      </w:r>
    </w:p>
    <w:p>
      <w:pPr>
        <w:spacing w:after="80"/>
        <w:jc w:val="both"/>
      </w:pPr>
      <w:r>
        <w:rPr>
          <w:rFonts w:ascii="Times New Roman" w:cs="Times New Roman" w:eastAsia="Times New Roman" w:hAnsi="Times New Roman"/>
          <w:i/>
          <w:iCs/>
          <w:sz w:val="24"/>
          <w:szCs w:val="24"/>
        </w:rPr>
        <w:t xml:space="preserve">Authority: the Madras High Court has repeatedly set aside the Rs. 50,000 Section 125 penalty where Section 47 late fee applies (Jainsons Castors; Kandan Hardware Mart). Use Minwool Rock Fibres to resist any reliance by the officer on Circular 76/2018’s suggestion of Section 125, and to argue circulars do not bind the assessee or the appellate authority.</w:t>
      </w:r>
    </w:p>
    <w:p>
      <w:pPr>
        <w:spacing w:after="80"/>
        <w:jc w:val="both"/>
      </w:pPr>
      <w:r>
        <w:rPr>
          <w:rFonts w:ascii="Times New Roman" w:cs="Times New Roman" w:eastAsia="Times New Roman" w:hAnsi="Times New Roman"/>
          <w:i/>
          <w:iCs/>
          <w:sz w:val="24"/>
          <w:szCs w:val="24"/>
        </w:rPr>
        <w:t xml:space="preserve">Note: Circular 76/50/2018-GST clarifies that Section 73(11) penalty is not attracted to mere delayed filing of GSTR-3B — helpful, but neutralise its separate Section 125 suggestion.</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default alleged is delay in furnishing returns. For that default the Act prescribes a specific consequence — late fee under Section 47 — which the noticee has paid / will pay. The general penalty under Section 125 is residuary and cannot be imposed where a specific provision applies. The proposed penalty of Rs. 50,000 is therefore unsustainable.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Late filing attracts late fee under Section 47, not general penalty. </w:t>
      </w:r>
      <w:r>
        <w:rPr>
          <w:rFonts w:ascii="Times New Roman" w:cs="Times New Roman" w:eastAsia="Times New Roman" w:hAnsi="Times New Roman"/>
          <w:sz w:val="24"/>
          <w:szCs w:val="24"/>
        </w:rPr>
        <w:t xml:space="preserve">Section 47 prescribes the late fee for delay in furnishing returns under Section 39. That is the specific and exclusive monetary consequence of the default. The noticee has discharged / undertakes to discharge the applicable late fee.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Section 125 is residuary and cannot override a specific provision. </w:t>
      </w:r>
      <w:r>
        <w:rPr>
          <w:rFonts w:ascii="Times New Roman" w:cs="Times New Roman" w:eastAsia="Times New Roman" w:hAnsi="Times New Roman"/>
          <w:sz w:val="24"/>
          <w:szCs w:val="24"/>
        </w:rPr>
        <w:t xml:space="preserve">The general penalty under Section 125 applies only where no separate penalty is provided. Where a specific provision (Section 47) governs the default, the residuary penalty cannot be invoked. The Madras High Court has set aside the very Rs. 50,000 general penalty in such circumstances in Jainsons Castors &amp; Industrial Products and Kandan Hardware Mart.</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Section 73(11) is not attracted to mere delayed filing. </w:t>
      </w:r>
      <w:r>
        <w:rPr>
          <w:rFonts w:ascii="Times New Roman" w:cs="Times New Roman" w:eastAsia="Times New Roman" w:hAnsi="Times New Roman"/>
          <w:sz w:val="24"/>
          <w:szCs w:val="24"/>
        </w:rPr>
        <w:t xml:space="preserve">As clarified by Circular 76/50/2018-GST dated 31.12.2018, the penalty under Section 73(11) is not payable for mere delay in furnishing GSTR-3B where tax with interest is paid. To the extent the notice relies on the same Circular to suggest a Section 125 penalty, that suggestion is not the law and is not binding.</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Circulars do not bind the taxpayer or the adjudicator. </w:t>
      </w:r>
      <w:r>
        <w:rPr>
          <w:rFonts w:ascii="Times New Roman" w:cs="Times New Roman" w:eastAsia="Times New Roman" w:hAnsi="Times New Roman"/>
          <w:sz w:val="24"/>
          <w:szCs w:val="24"/>
        </w:rPr>
        <w:t xml:space="preserve">It is settled that departmental circulars bind only departmental officers and not the assessee, the appellate authority or the courts. Reliance is placed on Commissioner of Central Excise v. Minwool Rock Fibres Ltd (Supreme Court).</w:t>
      </w:r>
      <w:r>
        <w:rPr>
          <w:rFonts w:ascii="Times New Roman" w:cs="Times New Roman" w:eastAsia="Times New Roman" w:hAnsi="Times New Roman"/>
          <w:b/>
          <w:bCs/>
          <w:sz w:val="24"/>
          <w:szCs w:val="24"/>
        </w:rPr>
        <w:t xml:space="preserve"> [VERIFY]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proposed general penalty of Rs. 50,000 under Section 125 be dropped, the noticee being liable only to late fee under Section 47, which stands paid; and that an opportunity of personal hearing be granted.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2026-06-14T03:19:48.405Z</dcterms:created>
  <dcterms:modified xsi:type="dcterms:W3CDTF">2026-06-14T03:19:48.405Z</dcterms:modified>
</cp:coreProperties>
</file>

<file path=docProps/custom.xml><?xml version="1.0" encoding="utf-8"?>
<Properties xmlns="http://schemas.openxmlformats.org/officeDocument/2006/custom-properties" xmlns:vt="http://schemas.openxmlformats.org/officeDocument/2006/docPropsVTypes"/>
</file>