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Signatory tension (carry-forward flag): the source verification is in a proprietorship form (“Prop. of M/s”). House style executes as M/s Notice Desk Private Limited by Authorised Signatory/Director. This APL-01 is cast in the company form; if the underlying refund applicant is in fact a proprietorship, restore the proprietor verification and signatory before filing, and confirm the verification clause matches the entity type.</w:t>
      </w:r>
    </w:p>
    <w:p>
      <w:pPr>
        <w:spacing w:after="80"/>
        <w:jc w:val="both"/>
      </w:pPr>
      <w:r>
        <w:rPr>
          <w:rFonts w:ascii="Times New Roman" w:cs="Times New Roman" w:eastAsia="Times New Roman" w:hAnsi="Times New Roman"/>
          <w:i/>
          <w:iCs/>
          <w:sz w:val="24"/>
          <w:szCs w:val="24"/>
        </w:rPr>
        <w:t xml:space="preserve">Core merits: the proper officer rejected the refund as time-barred while ignoring the binding Supreme Court order excluding the COVID period from limitation, and Notification 13/2022-Central Tax which statutorily excludes 01.03.2020 to 28.02.2022 for Section 54/55 refunds.</w:t>
      </w:r>
    </w:p>
    <w:p>
      <w:pPr>
        <w:spacing w:after="80"/>
        <w:jc w:val="both"/>
      </w:pPr>
      <w:r>
        <w:rPr>
          <w:rFonts w:ascii="Times New Roman" w:cs="Times New Roman" w:eastAsia="Times New Roman" w:hAnsi="Times New Roman"/>
          <w:i/>
          <w:iCs/>
          <w:sz w:val="24"/>
          <w:szCs w:val="24"/>
        </w:rPr>
        <w:t xml:space="preserve">Pre-deposit note (compute-by-date): Section 107(6) pre-deposit is 10% of the tax in dispute (cap Rs. 20 crore CGST), through the Electronic Cash Ledger. A refund-rejection appeal ordinarily carries no tax demand, so admitted amount and pre-deposit are NIL — confirm there is no consequential demand.</w:t>
      </w:r>
    </w:p>
    <w:p>
      <w:pPr>
        <w:spacing w:after="80"/>
        <w:jc w:val="both"/>
      </w:pPr>
      <w:r>
        <w:rPr>
          <w:rFonts w:ascii="Times New Roman" w:cs="Times New Roman" w:eastAsia="Times New Roman" w:hAnsi="Times New Roman"/>
          <w:i/>
          <w:iCs/>
          <w:sz w:val="24"/>
          <w:szCs w:val="24"/>
        </w:rPr>
        <w:t xml:space="preserve">Placeholders: RFD-01 ARN and date, RFD-08 SCN date, RFD-06 rejection order date/number, amount, appellate authority designation, relevant date.</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Trade name, if any</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Notice Desk</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Refund Rejection Order in Form GST RFD-06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Assistant Commissioner, [Division]</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8.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the order rejects refund of Rs. ____; there is no consequential tax demand.</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NIL (the appeal concerns rejection of a refund claim; no tax is admitted and no pre-deposit arises). To be confirmed against the order.</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filed an application for refund in Form GST RFD-01 (ARN ____) on ________ for the period ________, duly acknowledged in Form GST RFD-02 by the office of the Assistant Commissioner.</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notice in Form GST RFD-08 dated ________ was issued proposing to reject the application as filed beyond two years from the date of the invoice, said to be beyond the period under Section 54, with fifteen days to reply.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replied on ________, pointing out that the period from 15.03.2020 was excluded for computing the two-year limitation under Section 54 by order of the Supreme Court, so that the application was within time.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the impugned order in Form GST RFD-06 dated ________, the proper officer rejected the application as time-barred, without considering the binding order of the Supreme Court on the exclusion of limitation.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impugned order overrides a binding order of the Supreme Court. In In re: Cognizance for Extension of Limitation, the Supreme Court excluded the period from 15.03.2020 to 28.02.2022 for the purposes of limitation. The proper officer was bound to apply that exclusion and erred in rejecting the claim as time-barred.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claim is within time under Notification 13/2022-Central Tax. By Notification 13/2022-Central Tax dated 05.07.2022, issued under Section 168A, the period 01.03.2020 to 28.02.2022 is excluded in computing the limitation for a refund application under Section 54 or 55. On that exclusion, the application is within two years of the relevant date.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Show Cause Notice and order are vague and reflect non-application of mind. The rejection does not engage with the appellant’s reply or the binding exclusion of limitation, and is unsustainable on the principles of natural justice.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 merits, the refund is admissible on the documents on record and ought to be sanctioned with interest under Section 56.</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Refund Rejection Order in Form RFD-06 be set aside; that the refund of Rs. ____ be sanctioned with interest under Section 56; and, in the alternative, that the matter be remanded for fresh consideration after applying the exclusion of limitation.</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GSTAT-stage note: if relief is not obtained at the first-appeal stage, the next remedy lies before the Goods and Services Tax Appellate Tribunal under Section 112. Re-check the notified limitation and the pre-deposit applicable at the Tribunal stage immediately before any further appeal.</w:t>
      </w:r>
    </w:p>
    <w:p>
      <w:pPr>
        <w:spacing w:after="80"/>
      </w:pPr>
      <w:r>
        <w:rPr>
          <w:rFonts w:ascii="Times New Roman" w:cs="Times New Roman" w:eastAsia="Times New Roman" w:hAnsi="Times New Roman"/>
          <w:sz w:val="24"/>
          <w:szCs w:val="24"/>
        </w:rPr>
        <w:t xml:space="preserve"/>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2026-06-14T03:19:48.456Z</dcterms:created>
  <dcterms:modified xsi:type="dcterms:W3CDTF">2026-06-14T03:19:48.456Z</dcterms:modified>
</cp:coreProperties>
</file>

<file path=docProps/custom.xml><?xml version="1.0" encoding="utf-8"?>
<Properties xmlns="http://schemas.openxmlformats.org/officeDocument/2006/custom-properties" xmlns:vt="http://schemas.openxmlformats.org/officeDocument/2006/docPropsVTypes"/>
</file>