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 of Goods and Services Tax,</w:t>
      </w:r>
    </w:p>
    <w:p>
      <w:pPr>
        <w:spacing w:after="160"/>
        <w:jc w:val="left"/>
      </w:pPr>
      <w:r>
        <w:rPr>
          <w:rFonts w:ascii="Times New Roman" w:cs="Times New Roman" w:eastAsia="Times New Roman" w:hAnsi="Times New Roman"/>
          <w:sz w:val="24"/>
          <w:szCs w:val="24"/>
        </w:rPr>
        <w:t xml:space="preserve">[Division],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Communication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Representation against the negative blocking of the electronic credit ledger under Rule 86A of the CGST Rules, 2017, and request to lift the negative block.</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Rule 86A can block only credit that is AVAILABLE in the electronic credit ledger. Here the balance was Rs. 80 but the block was Rs. 100, creating a negative balance of Rs. (20). There is no power of negative blocking of credit to be availed in future.</w:t>
      </w:r>
    </w:p>
    <w:p>
      <w:pPr>
        <w:spacing w:after="80"/>
        <w:jc w:val="both"/>
      </w:pPr>
      <w:r>
        <w:rPr>
          <w:rFonts w:ascii="Times New Roman" w:cs="Times New Roman" w:eastAsia="Times New Roman" w:hAnsi="Times New Roman"/>
          <w:i/>
          <w:iCs/>
          <w:sz w:val="24"/>
          <w:szCs w:val="24"/>
        </w:rPr>
        <w:t xml:space="preserve">Authority now effectively settled: Samay Alloys India (Gujarat HC, 2022) and Best Crop Science (Delhi HC, 24.09.2024) — negative blocking is ultra vires; the Supreme Court declined to interfere in the Delhi line (SLP dismissals, 16.05.2025 and 09.07.2025). Cite the High Court rulings as operative; the SC non-interference is reinforcement, not Article 141.</w:t>
      </w:r>
    </w:p>
    <w:p>
      <w:pPr>
        <w:spacing w:after="80"/>
        <w:jc w:val="both"/>
      </w:pPr>
      <w:r>
        <w:rPr>
          <w:rFonts w:ascii="Times New Roman" w:cs="Times New Roman" w:eastAsia="Times New Roman" w:hAnsi="Times New Roman"/>
          <w:i/>
          <w:iCs/>
          <w:sz w:val="24"/>
          <w:szCs w:val="24"/>
        </w:rPr>
        <w:t xml:space="preserve">Figures (Rs. 80 balance, Rs. 100 block, Rs. (20) negative) are illustrative — insert the actual ledger balance and block amount.</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At the time of the impugned blocking, the balance in the electronic credit ledger was Rs. ____, whereas the amount blocked was Rs. ____, creating a negative balance of Rs. ____. Rule 86A permits the blocking only of credit that is available in the ledger; it confers no power to block credit not yet availed. The negative block is therefore wholly without jurisdiction.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Availability of credit is a condition precedent. </w:t>
      </w:r>
      <w:r>
        <w:rPr>
          <w:rFonts w:ascii="Times New Roman" w:cs="Times New Roman" w:eastAsia="Times New Roman" w:hAnsi="Times New Roman"/>
          <w:sz w:val="24"/>
          <w:szCs w:val="24"/>
        </w:rPr>
        <w:t xml:space="preserve">Rule 86A empowers the authority, on recorded reasons, to disallow debit of “an amount equivalent to such credit” available in the electronic credit ledger. The existence of credit in the ledger is the sine qua non for the exercise of the power. Where no, or insufficient, credit is available, the power cannot be invoked to that extent.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There is no power of negative blocking. </w:t>
      </w:r>
      <w:r>
        <w:rPr>
          <w:rFonts w:ascii="Times New Roman" w:cs="Times New Roman" w:eastAsia="Times New Roman" w:hAnsi="Times New Roman"/>
          <w:sz w:val="24"/>
          <w:szCs w:val="24"/>
        </w:rPr>
        <w:t xml:space="preserve">Rule 86A does not authorise the creation of a negative balance by blocking credit that may be availed in future. Such negative blocking is beyond the scope of the Rule. It has been so held by the Gujarat High Court in Samay Alloys India Pvt. Ltd. (2022) and by the Delhi High Court in Best Crop Science Pvt. Ltd. (24.09.2024), the Supreme Court having declined to interfere with the latter line.</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Rule 86A is protective, not a recovery tool. </w:t>
      </w:r>
      <w:r>
        <w:rPr>
          <w:rFonts w:ascii="Times New Roman" w:cs="Times New Roman" w:eastAsia="Times New Roman" w:hAnsi="Times New Roman"/>
          <w:sz w:val="24"/>
          <w:szCs w:val="24"/>
        </w:rPr>
        <w:t xml:space="preserve">The Rule is a temporary protective measure; recovery, if any, lies under Sections 73/74 read with Section 79. Blocking beyond the available credit converts a protective measure into a recovery mechanism, which the Rule does not permit.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negative blocking of the electronic credit ledger under Rule 86A be lifted forthwith to the extent it exceeds the credit available at the time of blocking; and that the reasons, if any, be furnished to the noticee.</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2026-06-14T03:19:48.523Z</dcterms:created>
  <dcterms:modified xsi:type="dcterms:W3CDTF">2026-06-14T03:19:48.523Z</dcterms:modified>
</cp:coreProperties>
</file>

<file path=docProps/custom.xml><?xml version="1.0" encoding="utf-8"?>
<Properties xmlns="http://schemas.openxmlformats.org/officeDocument/2006/custom-properties" xmlns:vt="http://schemas.openxmlformats.org/officeDocument/2006/docPropsVTypes"/>
</file>