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Commissioner of State Tax,</w:t>
      </w:r>
    </w:p>
    <w:p>
      <w:pPr>
        <w:spacing w:after="160"/>
        <w:jc w:val="left"/>
      </w:pPr>
      <w:r>
        <w:rPr>
          <w:rFonts w:ascii="Times New Roman" w:cs="Times New Roman" w:eastAsia="Times New Roman" w:hAnsi="Times New Roman"/>
          <w:sz w:val="24"/>
          <w:szCs w:val="24"/>
        </w:rPr>
        <w:t xml:space="preserve">Goods and Services Tax, Bikaner,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Form GST DRC-22 Reference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Objection under Rule 159(5) of the CGST Rules, 2017 against the provisional attachment of the bank account under Section 83, and request for supply of the recorded reasons and an opportunity of hearing.</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levers (Radha Krishan Industries, SC, 20.04.2021): Section 83 is a draconian power to be used sparingly; it requires (a) initiation of proceedings under Chapter XII/XIV/XV, (b) the Commissioner’s opinion, based on tangible material, that attachment is necessary to protect revenue, and (c) recorded reasons. Rule 159(5) gives the right to object within seven days and to be heard, followed by a reasoned order.</w:t>
      </w:r>
    </w:p>
    <w:p>
      <w:pPr>
        <w:spacing w:after="80"/>
        <w:jc w:val="both"/>
      </w:pPr>
      <w:r>
        <w:rPr>
          <w:rFonts w:ascii="Times New Roman" w:cs="Times New Roman" w:eastAsia="Times New Roman" w:hAnsi="Times New Roman"/>
          <w:i/>
          <w:iCs/>
          <w:sz w:val="24"/>
          <w:szCs w:val="24"/>
        </w:rPr>
        <w:t xml:space="preserve">Confirm which version of Section 83 applied on the attachment date — it was substituted w.e.f. 01.01.2022 by Notification 39/2021-Central Tax dated 21.12.2021, widening the trigger to “after initiation of any proceeding” under Chapter XII/XIV/XV and to persons under Section 122(1A). Cite 39/2021-CT, not a bare “Finance Act 2021”.</w:t>
      </w:r>
    </w:p>
    <w:p>
      <w:pPr>
        <w:spacing w:after="80"/>
        <w:jc w:val="both"/>
      </w:pPr>
      <w:r>
        <w:rPr>
          <w:rFonts w:ascii="Times New Roman" w:cs="Times New Roman" w:eastAsia="Times New Roman" w:hAnsi="Times New Roman"/>
          <w:i/>
          <w:iCs/>
          <w:sz w:val="24"/>
          <w:szCs w:val="24"/>
        </w:rPr>
        <w:t xml:space="preserve">Rule 159(5): the express objection window was amended w.e.f. 01.01.2022 (Notification 40/2021-CT). The draft pleads the right of objection and hearing without committing to a fixed “seven days” — confirm the current wording before inserting a specific number.</w:t>
      </w:r>
    </w:p>
    <w:p>
      <w:pPr>
        <w:spacing w:after="80"/>
        <w:jc w:val="both"/>
      </w:pPr>
      <w:r>
        <w:rPr>
          <w:rFonts w:ascii="Times New Roman" w:cs="Times New Roman" w:eastAsia="Times New Roman" w:hAnsi="Times New Roman"/>
          <w:i/>
          <w:iCs/>
          <w:sz w:val="24"/>
          <w:szCs w:val="24"/>
        </w:rPr>
        <w:t xml:space="preserve">Add the no-renewal point if relevant: the Supreme Court in Kesari Nandan Mobile (14.08.2025) held an attachment cannot be renewed beyond the one-year cessation under Section 83(2).</w:t>
      </w:r>
    </w:p>
    <w:p>
      <w:pPr>
        <w:spacing w:after="80"/>
        <w:jc w:val="both"/>
      </w:pPr>
      <w:r>
        <w:rPr>
          <w:rFonts w:ascii="Times New Roman" w:cs="Times New Roman" w:eastAsia="Times New Roman" w:hAnsi="Times New Roman"/>
          <w:i/>
          <w:iCs/>
          <w:sz w:val="24"/>
          <w:szCs w:val="24"/>
        </w:rPr>
        <w:t xml:space="preserve">This is an objection-cum-request filed within seven days; adapt the relief if the seven-day window has passed.</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provisional attachment of the noticee’s bank account has been communicated through Form DRC-22 without the recorded reasons being supplied and without any opportunity of hearing. The power under Section 83 is to be exercised strictly and sparingly, on tangible material, and is subject to the safeguards in Rule 159(5). The noticee objects to the attachment and seeks the recorded reasons and a hearing.</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Section 83 is a drastic power with strict pre-conditions. </w:t>
      </w:r>
      <w:r>
        <w:rPr>
          <w:rFonts w:ascii="Times New Roman" w:cs="Times New Roman" w:eastAsia="Times New Roman" w:hAnsi="Times New Roman"/>
          <w:sz w:val="24"/>
          <w:szCs w:val="24"/>
        </w:rPr>
        <w:t xml:space="preserve">As held by the Supreme Court in Radha Krishan Industries v. State of Himachal Pradesh (20.04.2021), provisional attachment is draconian; it presupposes the initiation of proceedings under the specified Chapters and the formation of an opinion, based on tangible material with a live link, that attachment is necessary to protect the revenue. The opinion and its basis must be recorded. (Section 83 was substituted with effect from 01.01.2022 by Notification 39/2021-Central Tax dated 21.12.2021, widening the trigger to the initiation of any proceeding under Chapter XII, XIV or XV.)</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Reasons must be supplied and a hearing afforded. </w:t>
      </w:r>
      <w:r>
        <w:rPr>
          <w:rFonts w:ascii="Times New Roman" w:cs="Times New Roman" w:eastAsia="Times New Roman" w:hAnsi="Times New Roman"/>
          <w:sz w:val="24"/>
          <w:szCs w:val="24"/>
        </w:rPr>
        <w:t xml:space="preserve">Rule 159(5) entitles the person whose property is attached to file objections to the attachment and to be heard, after which the Commissioner must pass a reasoned order. The noticee has not been furnished the recorded reasons and seeks them to enable an effective objection within the time allowed.</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Proportionality. </w:t>
      </w:r>
      <w:r>
        <w:rPr>
          <w:rFonts w:ascii="Times New Roman" w:cs="Times New Roman" w:eastAsia="Times New Roman" w:hAnsi="Times New Roman"/>
          <w:sz w:val="24"/>
          <w:szCs w:val="24"/>
        </w:rPr>
        <w:t xml:space="preserve">Attachment of a current account used for day-to-day business is a measure of last resort and must be proportionate; a blanket freeze that paralyses the business is impermissible. The noticee offers to furnish such security/safeguard as may be found adequate to protect the revenue without freezing the account.</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Cessation and no renewal. </w:t>
      </w:r>
      <w:r>
        <w:rPr>
          <w:rFonts w:ascii="Times New Roman" w:cs="Times New Roman" w:eastAsia="Times New Roman" w:hAnsi="Times New Roman"/>
          <w:sz w:val="24"/>
          <w:szCs w:val="24"/>
        </w:rPr>
        <w:t xml:space="preserve">Under Section 83(2) the attachment ceases after one year; and, as held by the Supreme Court in Kesari Nandan Mobile (14.08.2025), it cannot be renewed beyond that period on substantially the same grounds.</w:t>
      </w:r>
      <w:r>
        <w:rPr>
          <w:rFonts w:ascii="Times New Roman" w:cs="Times New Roman" w:eastAsia="Times New Roman" w:hAnsi="Times New Roman"/>
          <w:b/>
          <w:bCs/>
          <w:sz w:val="24"/>
          <w:szCs w:val="24"/>
        </w:rPr>
        <w:t xml:space="preserve"> [VERIFY]</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recorded reasons for the attachment be supplied; that the noticee be heard under Rule 159(5); and that the provisional attachment of the bank account be lifted, subject to such proportionate safeguard as may be considered necessary.</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2026-06-14T14:46:47.278Z</dcterms:created>
  <dcterms:modified xsi:type="dcterms:W3CDTF">2026-06-14T14:46:47.278Z</dcterms:modified>
</cp:coreProperties>
</file>

<file path=docProps/custom.xml><?xml version="1.0" encoding="utf-8"?>
<Properties xmlns="http://schemas.openxmlformats.org/officeDocument/2006/custom-properties" xmlns:vt="http://schemas.openxmlformats.org/officeDocument/2006/docPropsVTypes"/>
</file>