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GST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(ASMT-10 / DRC-01A /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communication / Show Cause Notice alleging short payment of tax (GSTR-1 vs GSTR-3B liability) and wrongful availment of input tax credit, where the amounts were already paid through Form GST DRC-03 before issuance.</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(1) the short payment was discharged through DRC-03 BEFORE the notice; (2) Instruction 02/2022-GST (22.03.2022), para 6.4, requires the proper officer to take such DRC-03 payments into account, and scrutiny to be dropped (ASMT-12) where the discrepancy is explained; (3) Sections 73(5)/74(5) conclude proceedings on payment of tax with interest before notice.</w:t>
      </w:r>
    </w:p>
    <w:p>
      <w:pPr>
        <w:spacing w:after="80"/>
        <w:jc w:val="both"/>
      </w:pPr>
      <w:r>
        <w:rPr>
          <w:rFonts w:ascii="Times New Roman" w:cs="Times New Roman" w:eastAsia="Times New Roman" w:hAnsi="Times New Roman"/>
          <w:i/>
          <w:iCs/>
          <w:sz w:val="24"/>
          <w:szCs w:val="24"/>
        </w:rPr>
        <w:t xml:space="preserve">Practical check: confirm the DRC-03 was filed under the correct “cause of payment” head (Scrutiny / Liability Mismatch GSTR-1 to 3B / ITC Mismatch GSTR-2B to 3B) so it maps to the proceeding. Note Rule 88C/DRC-01B (GSTR-1 vs 3B) and Rule 88D/DRC-01C (GSTR-2B vs 3B) as the current framework.</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There is no surviving discrepancy. The tax said to be short-paid was discharged through Form GST DRC-03 before the issuance of the notice, as the records of this office show. The instruction governing scrutiny requires such payments to be taken into account and the scrutiny to be dropped. The proceedings ought accordingly to be closed by acceptance in Form GST ASMT-12.</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amount was paid before the notice. </w:t>
      </w:r>
      <w:r>
        <w:rPr>
          <w:rFonts w:ascii="Times New Roman" w:cs="Times New Roman" w:eastAsia="Times New Roman" w:hAnsi="Times New Roman"/>
          <w:sz w:val="24"/>
          <w:szCs w:val="24"/>
        </w:rPr>
        <w:t xml:space="preserve">On noticing the difference between GSTR-1 and GSTR-3B (and the input tax credit point), the noticee paid the tax with interest through Form GST DRC-03 dated ________, a copy of which is enclosed. The payment predates the impugned communication.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Instruction 02/2022-GST requires the payment to be considered and scrutiny dropped. </w:t>
      </w:r>
      <w:r>
        <w:rPr>
          <w:rFonts w:ascii="Times New Roman" w:cs="Times New Roman" w:eastAsia="Times New Roman" w:hAnsi="Times New Roman"/>
          <w:sz w:val="24"/>
          <w:szCs w:val="24"/>
        </w:rPr>
        <w:t xml:space="preserve">Para 6.4 of CBIC Instruction 02/2022-GST dated 22.03.2022 provides that payments already made through Form DRC-03 are to be taken into account while communicating discrepancies in Form ASMT-10, and that where the discrepancy stands explained/paid, the scrutiny is to be closed by an order in Form ASMT-12.</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Payment before notice concludes the proceedings. </w:t>
      </w:r>
      <w:r>
        <w:rPr>
          <w:rFonts w:ascii="Times New Roman" w:cs="Times New Roman" w:eastAsia="Times New Roman" w:hAnsi="Times New Roman"/>
          <w:sz w:val="24"/>
          <w:szCs w:val="24"/>
        </w:rPr>
        <w:t xml:space="preserve">Under Sections 73(5)/(6) and 74(5)/(6), payment of the tax with interest before the issuance of a show cause notice concludes the proceedings, and no notice is to be issued in respect of the amount so paid.</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tax having been paid through Form DRC-03 before issuance, the proceedings be dropped and an order of acceptance in Form GST ASMT-12 be issued.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2026-06-14T14:46:47.691Z</dcterms:created>
  <dcterms:modified xsi:type="dcterms:W3CDTF">2026-06-14T14:46:47.691Z</dcterms:modified>
</cp:coreProperties>
</file>

<file path=docProps/custom.xml><?xml version="1.0" encoding="utf-8"?>
<Properties xmlns="http://schemas.openxmlformats.org/officeDocument/2006/custom-properties" xmlns:vt="http://schemas.openxmlformats.org/officeDocument/2006/docPropsVTypes"/>
</file>