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Times New Roman" w:cs="Times New Roman" w:eastAsia="Times New Roman" w:hAnsi="Times New Roman"/>
          <w:sz w:val="24"/>
          <w:szCs w:val="24"/>
        </w:rPr>
        <w:t xml:space="preserve">To,</w:t>
      </w:r>
    </w:p>
    <w:p>
      <w:pPr>
        <w:spacing w:after="20"/>
        <w:jc w:val="left"/>
      </w:pPr>
      <w:r>
        <w:rPr>
          <w:rFonts w:ascii="Times New Roman" w:cs="Times New Roman" w:eastAsia="Times New Roman" w:hAnsi="Times New Roman"/>
          <w:sz w:val="24"/>
          <w:szCs w:val="24"/>
        </w:rPr>
        <w:t xml:space="preserve">The State Tax Officer,</w:t>
      </w:r>
    </w:p>
    <w:p>
      <w:pPr>
        <w:spacing w:after="160"/>
        <w:jc w:val="left"/>
      </w:pPr>
      <w:r>
        <w:rPr>
          <w:rFonts w:ascii="Times New Roman" w:cs="Times New Roman" w:eastAsia="Times New Roman" w:hAnsi="Times New Roman"/>
          <w:sz w:val="24"/>
          <w:szCs w:val="24"/>
        </w:rPr>
        <w:t xml:space="preserve">Goods and Services Tax, Bikaner, Rajasthan</w:t>
      </w:r>
    </w:p>
    <w:p>
      <w:pPr>
        <w:spacing w:after="20"/>
        <w:jc w:val="left"/>
      </w:pPr>
      <w:r>
        <w:rPr>
          <w:rFonts w:ascii="Times New Roman" w:cs="Times New Roman" w:eastAsia="Times New Roman" w:hAnsi="Times New Roman"/>
          <w:sz w:val="24"/>
          <w:szCs w:val="24"/>
        </w:rPr>
        <w:t xml:space="preserve">From: M/s Notice Desk Private Limited (supplier)</w:t>
      </w:r>
    </w:p>
    <w:p>
      <w:pPr>
        <w:spacing w:after="160"/>
        <w:jc w:val="left"/>
      </w:pPr>
      <w:r>
        <w:rPr>
          <w:rFonts w:ascii="Times New Roman" w:cs="Times New Roman" w:eastAsia="Times New Roman" w:hAnsi="Times New Roman"/>
          <w:sz w:val="24"/>
          <w:szCs w:val="24"/>
        </w:rPr>
        <w:t xml:space="preserve">GSTIN: ____________________</w:t>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Information regarding non-payment by the recipient M/s ________ (GSTIN ________) within 180 days, attracting reversal of input tax credit under the second proviso to Section 16(2) read with Rule 37.</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Honest note on locus: the reversal obligation under the second proviso to Section 16(2) and Rule 37 lies SOLELY on the recipient/buyer. The supplier has no statutory locus to compel enforcement against the buyer; this letter is, at most, information for the department to act upon — frame it as intimation, not as a demand.</w:t>
      </w:r>
    </w:p>
    <w:p>
      <w:pPr>
        <w:spacing w:after="80"/>
        <w:jc w:val="both"/>
      </w:pPr>
      <w:r>
        <w:rPr>
          <w:rFonts w:ascii="Times New Roman" w:cs="Times New Roman" w:eastAsia="Times New Roman" w:hAnsi="Times New Roman"/>
          <w:i/>
          <w:iCs/>
          <w:sz w:val="24"/>
          <w:szCs w:val="24"/>
        </w:rPr>
        <w:t xml:space="preserve">Current mechanics (post 01.10.2022): Rule 37 substituted by Notification 19/2022-CT (28.09.2022) — the recipient reverses an amount equal to the ITC by adding it to output tax liability in GSTR-3B, with interest under Section 50, and may re-avail on later payment. Do not use the pre-amendment GSTR-2 / output-addition language.</w:t>
      </w:r>
    </w:p>
    <w:p>
      <w:pPr>
        <w:spacing w:after="80"/>
        <w:jc w:val="both"/>
      </w:pPr>
      <w:r>
        <w:rPr>
          <w:rFonts w:ascii="Times New Roman" w:cs="Times New Roman" w:eastAsia="Times New Roman" w:hAnsi="Times New Roman"/>
          <w:i/>
          <w:iCs/>
          <w:sz w:val="24"/>
          <w:szCs w:val="24"/>
        </w:rPr>
        <w:t xml:space="preserve">Insert invoice particulars, dates, value, the 180-day expiry date, and the supplier’s GSTR-1 reflecting the supply.</w:t>
      </w:r>
    </w:p>
    <w:p>
      <w:pPr>
        <w:spacing w:after="80"/>
      </w:pPr>
      <w:r>
        <w:rPr>
          <w:rFonts w:ascii="Times New Roman" w:cs="Times New Roman" w:eastAsia="Times New Roman" w:hAnsi="Times New Roman"/>
          <w:sz w:val="24"/>
          <w:szCs w:val="24"/>
        </w:rPr>
        <w:t xml:space="preserve"/>
      </w:r>
    </w:p>
    <w:p>
      <w:pPr>
        <w:spacing w:after="160" w:line="276"/>
        <w:jc w:val="both"/>
      </w:pPr>
      <w:r>
        <w:rPr>
          <w:rFonts w:ascii="Times New Roman" w:cs="Times New Roman" w:eastAsia="Times New Roman" w:hAnsi="Times New Roman"/>
          <w:sz w:val="24"/>
          <w:szCs w:val="24"/>
        </w:rPr>
        <w:t xml:space="preserve">M/s Notice Desk Private Limited (the supplier) supplied goods/services to M/s ________ (the recipient) under the invoices listed below, on which the recipient availed input tax credit. The supplier has duly reported the said supplies in its Form GSTR-1 and discharged the output tax.</w:t>
      </w:r>
    </w:p>
    <w:p>
      <w:pPr>
        <w:spacing w:after="160" w:line="276"/>
        <w:jc w:val="both"/>
      </w:pPr>
      <w:r>
        <w:rPr>
          <w:rFonts w:ascii="Times New Roman" w:cs="Times New Roman" w:eastAsia="Times New Roman" w:hAnsi="Times New Roman"/>
          <w:sz w:val="24"/>
          <w:szCs w:val="24"/>
        </w:rPr>
        <w:t xml:space="preserve">The recipient has not paid the supplier the value of the said supplies together with the tax payable thereon within one hundred and eighty days from the date of issue of the invoices, as the second proviso to Section 16(2) requires.</w:t>
      </w:r>
    </w:p>
    <w:p>
      <w:pPr>
        <w:spacing w:after="160" w:line="276"/>
        <w:jc w:val="both"/>
      </w:pPr>
      <w:r>
        <w:rPr>
          <w:rFonts w:ascii="Times New Roman" w:cs="Times New Roman" w:eastAsia="Times New Roman" w:hAnsi="Times New Roman"/>
          <w:sz w:val="24"/>
          <w:szCs w:val="24"/>
        </w:rPr>
        <w:t xml:space="preserve">Under the second proviso to Section 16(2) read with Rule 37 (as substituted with effect from 01.10.2022), where a recipient fails to pay the supplier within one hundred and eighty days, an amount equal to the input tax credit availed is to be added to the recipient’s output tax liability, with interest under Section 50; the credit may be re-availed on subsequent payment. The supplier’s own compliance is complete and unaffected.</w:t>
      </w:r>
    </w:p>
    <w:p>
      <w:pPr>
        <w:spacing w:after="160" w:line="276"/>
        <w:jc w:val="both"/>
      </w:pPr>
      <w:r>
        <w:rPr>
          <w:rFonts w:ascii="Times New Roman" w:cs="Times New Roman" w:eastAsia="Times New Roman" w:hAnsi="Times New Roman"/>
          <w:sz w:val="24"/>
          <w:szCs w:val="24"/>
        </w:rPr>
        <w:t xml:space="preserve">This information is furnished to enable this office to take such action against the recipient as the law provides. The supplier will furnish any supporting particulars on request.</w:t>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abstractNum w:abstractNumId="6"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2026-06-14T16:28:18.530Z</dcterms:created>
  <dcterms:modified xsi:type="dcterms:W3CDTF">2026-06-14T16:28:18.530Z</dcterms:modified>
</cp:coreProperties>
</file>

<file path=docProps/custom.xml><?xml version="1.0" encoding="utf-8"?>
<Properties xmlns="http://schemas.openxmlformats.org/officeDocument/2006/custom-properties" xmlns:vt="http://schemas.openxmlformats.org/officeDocument/2006/docPropsVTypes"/>
</file>