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To,</w:t>
      </w:r>
    </w:p>
    <w:p>
      <w:pPr>
        <w:spacing w:after="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State Tax Officer / Refund Sanctioning Authority,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Goods and Services Tax, Bikaner, Rajasthan</w:t>
      </w:r>
    </w:p>
    <w:p>
      <w:pPr>
        <w:spacing w:after="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GSTIN: ____________________</w:t>
      </w:r>
    </w:p>
    <w:p>
      <w:pPr>
        <w:spacing w:after="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Trade Name: M/s Notice Desk Private Limited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Form GST RFD-08 Reference No.: ____________  dated __________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Subject: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Reply to the Show Cause Notice in Form GST RFD-08 proposing rejection of the refund of accumulated input tax credit on exports, on the ground that the export turnover was reported in Form GSTR-3B under the wrong head.</w:t>
      </w:r>
    </w:p>
    <w:p>
      <w:pPr>
        <w:pBdr>
          <w:top w:val="single" w:color="888888" w:sz="4" w:space="4"/>
          <w:bottom w:val="single" w:color="888888" w:sz="4" w:space="4"/>
        </w:pBdr>
        <w:spacing w:after="60" w:before="8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Drafting note (remove before filing). 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Core levers: (1) the export turnover was correctly reported in GSTR-1 but, by a clerical error, shown under the wrong head in GSTR-3B (and GSTR-3B has no revision facility); (2) substance over form — a clerical mis-reporting cannot defeat a legitimate export refund; (3) procedure is the handmaid of justice (Auriya Chamber of Commerce, SC).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Authority: ABI Technologies (Madras HC) allowed refund despite wrong GSTR-3B reporting of zero-rated supply — verify the WP(MD) number/date against the certified copy before filing. Distinguish Bharti Airtel (SC): it bars unilateral retrospective GSTR-3B revision, not a refund supported by reconciliation.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Annex the shipping bill, GSTR-1, and a reconciliation tying the export to the refund claim.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1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Synopsis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refund is of accumulated input tax credit on a genuine export (zero-rated supply), supported by the shipping bill and the export documents. The only objection is that, in Form GSTR-3B, the turnover was inadvertently shown under the wrong head. This is a clerical error, incapable of correction because Form GSTR-3B carries no revision facility, and it cannot defeat the substantive entitlement to refund.</w:t>
      </w:r>
    </w:p>
    <w:p>
      <w:pPr>
        <w:spacing w:after="120" w:before="1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Submissions</w:t>
      </w:r>
    </w:p>
    <w:p>
      <w:pPr>
        <w:pStyle w:val="ListParagraph"/>
        <w:numPr>
          <w:ilvl w:val="0"/>
          <w:numId w:val="2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The export is genuine and correctly reported in GSTR-1.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supply is a zero-rated export, evidenced by the shipping bill and export documents, and was correctly reported in Form GSTR-1. The mis-classification arose only in Form GSTR-3B, which has no facility for revision; the error is purely clerical.</w:t>
      </w:r>
    </w:p>
    <w:p>
      <w:pPr>
        <w:pStyle w:val="ListParagraph"/>
        <w:numPr>
          <w:ilvl w:val="0"/>
          <w:numId w:val="2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Substance must prevail over a clerical form error.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legitimate export refund cannot be denied on account of an inadvertent reporting error in Form GSTR-3B. As the Supreme Court held in Commissioner of Sales Tax, U.P. v. Auriya Chamber of Commerce, procedure is the handmaid of justice and not its mistress; procedural requirements should not be applied so as to defeat a substantive entitlement.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[VERIFY]</w:t>
      </w:r>
    </w:p>
    <w:p>
      <w:pPr>
        <w:pStyle w:val="ListParagraph"/>
        <w:numPr>
          <w:ilvl w:val="0"/>
          <w:numId w:val="2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Refund has been allowed in like cases.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In a case of wrong reporting of zero-rated supply in Form GSTR-3B, the Madras High Court in ABI Technologies directed the refund to be processed on the basis of the correct data, treating the GSTR-3B entry as a clerical error. The same course is warranted here.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[VERIFY]</w:t>
      </w:r>
    </w:p>
    <w:p>
      <w:pPr>
        <w:pStyle w:val="ListParagraph"/>
        <w:numPr>
          <w:ilvl w:val="0"/>
          <w:numId w:val="2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Reconciliation furnished.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reconciliation tying the export (shipping bill and Form GSTR-1) to the refund claim is annexed, establishing the entitlement notwithstanding the Form GSTR-3B head under which the turnover was shown.</w:t>
      </w:r>
    </w:p>
    <w:p>
      <w:pPr>
        <w:spacing w:after="120" w:before="1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Prayer</w:t>
      </w:r>
    </w:p>
    <w:p>
      <w:pPr>
        <w:pStyle w:val="ListParagraph"/>
        <w:numPr>
          <w:ilvl w:val="0"/>
          <w:numId w:val="3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It is respectfully prayed that the proposed rejection be dropped and the refund of Rs. ____ be sanctioned with applicable interest under Section 56; and that an opportunity of personal hearing be granted before any adverse order.</w:t>
      </w:r>
    </w:p>
    <w:p>
      <w:pPr>
        <w:spacing w:after="20" w:befor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Yours faithfully,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For M/s Notice Desk Private Limited</w:t>
      </w:r>
    </w:p>
    <w:p>
      <w:pPr>
        <w:spacing w:after="20" w:befor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Authorised Signatory / Director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Place: Nasik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Date: 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2026-06-14T16:28:18.892Z</dcterms:created>
  <dcterms:modified xsi:type="dcterms:W3CDTF">2026-06-14T16:28:18.892Z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