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Notice (Section 150)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issued under Section 150 of the CGST Act, 2017 calling upon the noticee to furnish its books of account and transaction records.</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Lead with JURISDICTION (this is a construction argument, not a settled-precedent point): Section 150 is an obligation to furnish a prescribed periodic information return by the enumerated record-keepers; it is NOT an assessment/scrutiny tool to extract a taxpayer’s own books. The routes to call a taxpayer’s records are Section 61 (ASMT-10), 65/66 (audit), 67 (inspection) and 70 (summons).</w:t>
      </w:r>
    </w:p>
    <w:p>
      <w:pPr>
        <w:spacing w:after="80"/>
        <w:jc w:val="both"/>
      </w:pPr>
      <w:r>
        <w:rPr>
          <w:rFonts w:ascii="Times New Roman" w:cs="Times New Roman" w:eastAsia="Times New Roman" w:hAnsi="Times New Roman"/>
          <w:i/>
          <w:iCs/>
          <w:sz w:val="24"/>
          <w:szCs w:val="24"/>
        </w:rPr>
        <w:t xml:space="preserve">Supporting points: (a) no ‘information return’ form/manner is prescribed under Rule 148 calling for a balance sheet; (b) the only sanction is Section 123 (Rs.100/day, max Rs.5,000), which itself signals the limited data-gathering character of Section 150.</w:t>
      </w:r>
    </w:p>
    <w:p>
      <w:pPr>
        <w:spacing w:after="80"/>
        <w:jc w:val="both"/>
      </w:pPr>
      <w:r>
        <w:rPr>
          <w:rFonts w:ascii="Times New Roman" w:cs="Times New Roman" w:eastAsia="Times New Roman" w:hAnsi="Times New Roman"/>
          <w:i/>
          <w:iCs/>
          <w:sz w:val="24"/>
          <w:szCs w:val="24"/>
        </w:rPr>
        <w:t xml:space="preserve">There is no direct High Court ruling quashing a Section 150 document-call — frame as a jurisdictional objection and reserve rights; escalate by writ only if a coercive/penal step follows.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 purports to call for the noticee’s books of account and transaction records under Section 150. Section 150 imposes an obligation on certain enumerated persons to furnish a prescribed periodic information return to enable third-party cross-verification; it is not a provision under which a registered person’s own records may be requisitioned for the assessment or scrutiny of that person’s liability. The notice is therefore misconceived.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Section 150 is an information-return obligation, not a scrutiny power. </w:t>
      </w:r>
      <w:r>
        <w:rPr>
          <w:rFonts w:ascii="Times New Roman" w:cs="Times New Roman" w:eastAsia="Times New Roman" w:hAnsi="Times New Roman"/>
          <w:sz w:val="24"/>
          <w:szCs w:val="24"/>
        </w:rPr>
        <w:t xml:space="preserve">Section 150(1) obliges the persons listed in clauses (a) to (p) — who maintain records of registration, statements of account, periodic returns, payment of tax, bank transactions, electricity consumption, or transactions in property — to furnish an ‘information return’ in the prescribed form, manner and period. The provision exists to enable the department to gather third-party data, not to call upon a taxable person to produce its own books for verification of its own returns.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information return in the prescribed form has been called. </w:t>
      </w:r>
      <w:r>
        <w:rPr>
          <w:rFonts w:ascii="Times New Roman" w:cs="Times New Roman" w:eastAsia="Times New Roman" w:hAnsi="Times New Roman"/>
          <w:sz w:val="24"/>
          <w:szCs w:val="24"/>
        </w:rPr>
        <w:t xml:space="preserve">Rule 148 prescribes that an information return is to be furnished in such form and manner, and through such Facilitation Centre, as may be notified. The impugned notice calls not for any prescribed information return but for the noticee’s balance sheet, trading account and ledgers — a demand outside the scheme of Section 150 read with Rule 148.</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proper routes lie elsewhere. </w:t>
      </w:r>
      <w:r>
        <w:rPr>
          <w:rFonts w:ascii="Times New Roman" w:cs="Times New Roman" w:eastAsia="Times New Roman" w:hAnsi="Times New Roman"/>
          <w:sz w:val="24"/>
          <w:szCs w:val="24"/>
        </w:rPr>
        <w:t xml:space="preserve">If this office requires the noticee’s records to verify its returns, the Act provides specific powers — scrutiny under Section 61 (with a notice in Form ASMT-10 specifying the discrepancy), audit under Sections 65/66, inspection under Section 67, or summons under Section 70 — each with its own safeguards. Section 150 is not a substitute for any of these.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limited sanction confirms the limited scope. </w:t>
      </w:r>
      <w:r>
        <w:rPr>
          <w:rFonts w:ascii="Times New Roman" w:cs="Times New Roman" w:eastAsia="Times New Roman" w:hAnsi="Times New Roman"/>
          <w:sz w:val="24"/>
          <w:szCs w:val="24"/>
        </w:rPr>
        <w:t xml:space="preserve">The only consequence of a failure to furnish an information return is the penalty under Section 123 — Rs. 100 per day, capped at Rs. 5,000. That modest, capped sanction confirms that Section 150 is a data-gathering provision and not a vehicle for adjudicatory document production.</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notice under Section 150 be treated as not maintainable for the production of the noticee’s books of account; and that any requirement for records, if necessary, be made through a notice issued under the appropriate provision of the Act, to which the noticee will respond in accordance with law.</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2026-06-15T09:00:43.121Z</dcterms:created>
  <dcterms:modified xsi:type="dcterms:W3CDTF">2026-06-15T09:00:43.134Z</dcterms:modified>
</cp:coreProperties>
</file>

<file path=docProps/custom.xml><?xml version="1.0" encoding="utf-8"?>
<Properties xmlns="http://schemas.openxmlformats.org/officeDocument/2006/custom-properties" xmlns:vt="http://schemas.openxmlformats.org/officeDocument/2006/docPropsVTypes"/>
</file>