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73/74 proposing reversal of input tax credit on the ground that the supplier M/s ________’s registration was cancelled with retrospective effect from 01.07.2017.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at the time of the purchases the supplier was registered and active on the portal; a subsequent retrospective cancellation cannot, by itself, deny a bona fide recipient ITC where the transaction is genuine. The Section 16(2) conditions were satisfied.</w:t>
      </w:r>
    </w:p>
    <w:p>
      <w:pPr>
        <w:spacing w:after="80"/>
        <w:jc w:val="both"/>
      </w:pPr>
      <w:r>
        <w:rPr>
          <w:rFonts w:ascii="Times New Roman" w:cs="Times New Roman" w:eastAsia="Times New Roman" w:hAnsi="Times New Roman"/>
          <w:i/>
          <w:iCs/>
          <w:sz w:val="24"/>
          <w:szCs w:val="24"/>
        </w:rPr>
        <w:t xml:space="preserve">Authority: Gargo Traders (Calcutta HC, WPA 1009/2022, 12.06.2023) — retrospective cancellation alone does not defeat ITC; Riddhi Siddhi Enterprises (Delhi HC, 25.09.2024) — retrospective cancellation must be reasoned; Suncraft Energy / D.Y. Beathel — recover from the supplier first.</w:t>
      </w:r>
    </w:p>
    <w:p>
      <w:pPr>
        <w:spacing w:after="80"/>
        <w:jc w:val="both"/>
      </w:pPr>
      <w:r>
        <w:rPr>
          <w:rFonts w:ascii="Times New Roman" w:cs="Times New Roman" w:eastAsia="Times New Roman" w:hAnsi="Times New Roman"/>
          <w:i/>
          <w:iCs/>
          <w:sz w:val="24"/>
          <w:szCs w:val="24"/>
        </w:rPr>
        <w:t xml:space="preserve">Honest note: there is a contrary line (Aastha Enterprises, Patna HC; Pinstar Automotive, Madras HC; Ecom Gill, SC) treating ITC as a concession and reading Section 16(2)(c) strictly. The outcome is fact-sensitive — marshal the bank trail, invoices, e-way bills and transport proof. Suncraft’s SLP dismissal (14.12.2023) was on low-tax-effect grounds, not Article 141 — cite the Calcutta HC ruling.</w:t>
      </w:r>
    </w:p>
    <w:p>
      <w:pPr>
        <w:spacing w:after="80"/>
        <w:jc w:val="both"/>
      </w:pPr>
      <w:r>
        <w:rPr>
          <w:rFonts w:ascii="Times New Roman" w:cs="Times New Roman" w:eastAsia="Times New Roman" w:hAnsi="Times New Roman"/>
          <w:i/>
          <w:iCs/>
          <w:sz w:val="24"/>
          <w:szCs w:val="24"/>
        </w:rPr>
        <w:t xml:space="preserve">Annex the invoices, e-way bills, transport documents and proof of banking payment.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proposed reversal rests solely on the retrospective cancellation of the supplier’s registration. At the time the noticee purchased from the supplier, the supplier was registered and active on the common portal, and the transactions were genuine — supported by tax invoices, e-way bills, transport documents and payment through banking channels. Input tax credit lawfully taken cannot be reversed merely because the supplier’s registration was, long afterwards, cancelled with retrospective effect.</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supplier was registered at the time of supply. </w:t>
      </w:r>
      <w:r>
        <w:rPr>
          <w:rFonts w:ascii="Times New Roman" w:cs="Times New Roman" w:eastAsia="Times New Roman" w:hAnsi="Times New Roman"/>
          <w:sz w:val="24"/>
          <w:szCs w:val="24"/>
        </w:rPr>
        <w:t xml:space="preserve">On the dates of the invoices, the supplier held a valid registration appearing as active on the common portal. The noticee was entitled to deal with it as a registered supplier and to take credit of the tax charged. A retrospective cancellation effected later cannot rewrite the position as it stood at the time of the transactions.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conditions of Section 16(2) are satisfied. </w:t>
      </w:r>
      <w:r>
        <w:rPr>
          <w:rFonts w:ascii="Times New Roman" w:cs="Times New Roman" w:eastAsia="Times New Roman" w:hAnsi="Times New Roman"/>
          <w:sz w:val="24"/>
          <w:szCs w:val="24"/>
        </w:rPr>
        <w:t xml:space="preserve">The noticee holds the tax invoices (Section 16(2)(a)), the invoices were reflected and communicated through Form GSTR-2A/2B (Section 16(2)(aa)), the goods/services were received (Section 16(2)(b)), and payment was made to the supplier including tax. The credit is therefore validly availed.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Retrospective cancellation alone cannot deny a bona fide recipient. </w:t>
      </w:r>
      <w:r>
        <w:rPr>
          <w:rFonts w:ascii="Times New Roman" w:cs="Times New Roman" w:eastAsia="Times New Roman" w:hAnsi="Times New Roman"/>
          <w:sz w:val="24"/>
          <w:szCs w:val="24"/>
        </w:rPr>
        <w:t xml:space="preserve">It has been held by the Calcutta High Court in Gargo Traders v. Joint Commissioner, Commercial Taxes (12.06.2023) that input tax credit cannot be denied to a purchaser merely because the supplier’s registration was cancelled with retrospective effect, where the transactions are genuine and supported by documents; and by the Delhi High Court in Riddhi Siddhi Enterprises (25.09.2024) that a retrospective cancellation must itself be reasoned and cannot mechanically be used to deny the recipient’s credit.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Recovery, if any, lies first against the supplier. </w:t>
      </w:r>
      <w:r>
        <w:rPr>
          <w:rFonts w:ascii="Times New Roman" w:cs="Times New Roman" w:eastAsia="Times New Roman" w:hAnsi="Times New Roman"/>
          <w:sz w:val="24"/>
          <w:szCs w:val="24"/>
        </w:rPr>
        <w:t xml:space="preserve">Where any default is attributed to the supplier, the revenue must proceed against the supplier; the bona fide recipient’s credit is not to be reversed without first inquiring into and recovering from the supplier. Reliance is placed on Suncraft Energy Pvt. Ltd. (Calcutta High Court) and D.Y. Beathel Enterprises (Madras High Court).</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and the input tax credit be allowed, the transactions being genuine and the credit validly availed;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2026-06-15T09:00:43.494Z</dcterms:created>
  <dcterms:modified xsi:type="dcterms:W3CDTF">2026-06-15T09:00:43.494Z</dcterms:modified>
</cp:coreProperties>
</file>

<file path=docProps/custom.xml><?xml version="1.0" encoding="utf-8"?>
<Properties xmlns="http://schemas.openxmlformats.org/officeDocument/2006/custom-properties" xmlns:vt="http://schemas.openxmlformats.org/officeDocument/2006/docPropsVTypes"/>
</file>