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under Section 125 proposing a general penalty of Rs. 50,000 for delay in filing Form GSTR-3B, the return having in fact been filed within thirty days of the due date.</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Correct the provision: the relevant provision is Section 73(11) (not ‘Section 73(12)’ as the source recites). Section 73(11) penalty arises only where self-assessed/collected tax is not paid within 30 days of the due date.</w:t>
      </w:r>
    </w:p>
    <w:p>
      <w:pPr>
        <w:spacing w:after="80"/>
        <w:jc w:val="both"/>
      </w:pPr>
      <w:r>
        <w:rPr>
          <w:rFonts w:ascii="Times New Roman" w:cs="Times New Roman" w:eastAsia="Times New Roman" w:hAnsi="Times New Roman"/>
          <w:i/>
          <w:iCs/>
          <w:sz w:val="24"/>
          <w:szCs w:val="24"/>
        </w:rPr>
        <w:t xml:space="preserve">Core levers: (1) the GSTR-3B was filed WITHIN 30 days of the due date, so Section 73(11) is not attracted at all; (2) the specific consequence for delay is late fee under Section 47, and the residuary general penalty under Section 125 cannot be invoked where Section 47 applies (Jainsons Castors, Madras HC). Concede the Section 47 late fee; contest only the Section 125 penalty.</w:t>
      </w:r>
    </w:p>
    <w:p>
      <w:pPr>
        <w:spacing w:after="80"/>
        <w:jc w:val="both"/>
      </w:pPr>
      <w:r>
        <w:rPr>
          <w:rFonts w:ascii="Times New Roman" w:cs="Times New Roman" w:eastAsia="Times New Roman" w:hAnsi="Times New Roman"/>
          <w:i/>
          <w:iCs/>
          <w:sz w:val="24"/>
          <w:szCs w:val="24"/>
        </w:rPr>
        <w:t xml:space="preserve">‘Kandan Hardware Mart’ from the earlier batch is unverified — lead with Jainsons Castors. Period check: for FY 2024-25 onward Section 74A governs; for earlier periods Section 73 applies.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proposed general penalty of Rs. 50,000 under Section 125 is unsustainable. The return in Form GSTR-3B was filed within thirty days of the due date; the penalty under Section 73(11) — which arises only where self-assessed tax is not paid within thirty days — is therefore not attracted at all. The only consequence of the delay is late fee under Section 47, and the residuary general penalty under Section 125 cannot be invoked where that specific provision applies.</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Section 73(11) is not attracted. </w:t>
      </w:r>
      <w:r>
        <w:rPr>
          <w:rFonts w:ascii="Times New Roman" w:cs="Times New Roman" w:eastAsia="Times New Roman" w:hAnsi="Times New Roman"/>
          <w:sz w:val="24"/>
          <w:szCs w:val="24"/>
        </w:rPr>
        <w:t xml:space="preserve">Section 73(11) provides that the penalty under Section 73(9) is payable where any self-assessed tax or any amount collected as tax is not paid within thirty days from the due date of payment. The noticee filed its Form GSTR-3B and paid the tax within thirty days of the due date; the thirty-day condition is not breached, and Section 73(11) has no application.</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specific consequence is late fee under Section 47. </w:t>
      </w:r>
      <w:r>
        <w:rPr>
          <w:rFonts w:ascii="Times New Roman" w:cs="Times New Roman" w:eastAsia="Times New Roman" w:hAnsi="Times New Roman"/>
          <w:sz w:val="24"/>
          <w:szCs w:val="24"/>
        </w:rPr>
        <w:t xml:space="preserve">Delay in furnishing a return carries a specific consequence — late fee under Section 47 — which the noticee has paid / will pay. That is the exclusive monetary consequence prescribed for the default.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Section 125 cannot override a specific provision. </w:t>
      </w:r>
      <w:r>
        <w:rPr>
          <w:rFonts w:ascii="Times New Roman" w:cs="Times New Roman" w:eastAsia="Times New Roman" w:hAnsi="Times New Roman"/>
          <w:sz w:val="24"/>
          <w:szCs w:val="24"/>
        </w:rPr>
        <w:t xml:space="preserve">The general penalty under Section 125 applies only where no separate penalty is provided. Where the specific provision (Section 47) governs the default, the residuary penalty cannot be invoked. The Madras High Court has set aside the very Rs. 50,000 general penalty in such circumstances in Jainsons Castors &amp; Industrial Products.</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proposed general penalty of Rs. 50,000 under Section 125 be dropped, the return having been filed within thirty days of the due date and the noticee being liable, if at all, only to late fee under Section 47; and that an opportunity of personal hearing be granted.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2026-06-15T09:00:43.840Z</dcterms:created>
  <dcterms:modified xsi:type="dcterms:W3CDTF">2026-06-15T09:00:43.840Z</dcterms:modified>
</cp:coreProperties>
</file>

<file path=docProps/custom.xml><?xml version="1.0" encoding="utf-8"?>
<Properties xmlns="http://schemas.openxmlformats.org/officeDocument/2006/custom-properties" xmlns:vt="http://schemas.openxmlformats.org/officeDocument/2006/docPropsVTypes"/>
</file>