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 / Proper Officer,</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Form GST MOV-09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Request for issuance of the summary of order in Form GST DRC-07 consequent to the order in Form GST MOV-09 under Section 129, to enable the noticee to file an appeal under Section 107.</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levers: Circular 41/2018-GST (as modified by 49/2018-GST), para (v) — a summary of every MOV-09/MOV-11 order is to be uploaded in Form DRC-07; Hindustan Steel and Cement (Kerala HC, WP(C) 17454/2022, 20.07.2022) — DRC-07 must be issued to enable a Section 107 appeal even where payment was made under Section 129(1)(a); Section 129(5) ends only the detention procedure and does not bar the appeal.</w:t>
      </w:r>
    </w:p>
    <w:p>
      <w:pPr>
        <w:spacing w:after="80"/>
        <w:jc w:val="both"/>
      </w:pPr>
      <w:r>
        <w:rPr>
          <w:rFonts w:ascii="Times New Roman" w:cs="Times New Roman" w:eastAsia="Times New Roman" w:hAnsi="Times New Roman"/>
          <w:i/>
          <w:iCs/>
          <w:sz w:val="24"/>
          <w:szCs w:val="24"/>
        </w:rPr>
        <w:t xml:space="preserve">This is a request letter to compel DRC-07 generation; if refused, the established remedy is a writ for a direction to issue DRC-07 and to permit the appeal. Insert MOV-07/MOV-09 references, the DRC-03 payment particulars, and the release date.</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noticee’s goods and conveyance were detained under Section 129; the demand in Form GST MOV-07 was deposited (under protest) through Form GST DRC-03; the goods were released and an order in Form GST MOV-09 was passed. However, no summary of the order in Form GST DRC-07 has been uploaded. The absence of the Form DRC-07 is preventing the noticee from filing an appeal under Section 107. Its issuance is requested.</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DRC-07 is mandatory upon a MOV-09 order. </w:t>
      </w:r>
      <w:r>
        <w:rPr>
          <w:rFonts w:ascii="Times New Roman" w:cs="Times New Roman" w:eastAsia="Times New Roman" w:hAnsi="Times New Roman"/>
          <w:sz w:val="24"/>
          <w:szCs w:val="24"/>
        </w:rPr>
        <w:t xml:space="preserve">Circular 41/2018-GST dated 13.04.2018, as modified by Circular 49/2018-GST, provides at paragraph (v) that a summary of every order in Form GST MOV-09 (and MOV-11) shall be uploaded electronically in Form GST DRC-07 on the common portal. The issuance of the Form DRC-07 is therefore a mandatory consequence of the MOV-09 order passed in the noticee’s case.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appeal right cannot be defeated by non-issuance. </w:t>
      </w:r>
      <w:r>
        <w:rPr>
          <w:rFonts w:ascii="Times New Roman" w:cs="Times New Roman" w:eastAsia="Times New Roman" w:hAnsi="Times New Roman"/>
          <w:sz w:val="24"/>
          <w:szCs w:val="24"/>
        </w:rPr>
        <w:t xml:space="preserve">As held by the Kerala High Court in Hindustan Steel and Cement v. Assistant State Tax Officer (20.07.2022), the right to file an appeal under Section 107 against an order under Section 129 cannot be defeated merely because the system has not generated the summary order in Form DRC-07; the officer’s duty to pass the order and upload the Form DRC-07 subsists, and Section 129(5) concludes only the detention proceedings, not the right of appeal.</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Payment was under protest. </w:t>
      </w:r>
      <w:r>
        <w:rPr>
          <w:rFonts w:ascii="Times New Roman" w:cs="Times New Roman" w:eastAsia="Times New Roman" w:hAnsi="Times New Roman"/>
          <w:sz w:val="24"/>
          <w:szCs w:val="24"/>
        </w:rPr>
        <w:t xml:space="preserve">The deposit was made under protest, owing to the urgency of the consignment, and without conceding the allegation. The noticee intends to challenge the order in appeal and requires the Form DRC-07 to do so.</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summary of the order in Form GST DRC-07 be issued and uploaded on the common portal forthwith, so as to enable the noticee to file an appeal under Section 107 against the order in Form GST MOV-09.</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2026-06-15T09:00:43.872Z</dcterms:created>
  <dcterms:modified xsi:type="dcterms:W3CDTF">2026-06-15T09:00:43.872Z</dcterms:modified>
</cp:coreProperties>
</file>

<file path=docProps/custom.xml><?xml version="1.0" encoding="utf-8"?>
<Properties xmlns="http://schemas.openxmlformats.org/officeDocument/2006/custom-properties" xmlns:vt="http://schemas.openxmlformats.org/officeDocument/2006/docPropsVTypes"/>
</file>