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Form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DRC-01 proposing a penalty equal to 100% of the tax and referring to a “penalty under Section 50”.</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CRITICAL CORRECTIONS (the source/SCN errs): (1) Section 50 is INTEREST, not penalty — there is no ‘penalty under Section 50’; (2) under Section 73(9) the penalty is 10% of tax or Rs.10,000, whichever is higher — NOT 100%; an equal (100%) penalty is only under Section 74(9) and requires fraud / wilful misstatement / suppression.</w:t>
      </w:r>
    </w:p>
    <w:p>
      <w:pPr>
        <w:spacing w:after="80"/>
        <w:jc w:val="both"/>
      </w:pPr>
      <w:r>
        <w:rPr>
          <w:rFonts w:ascii="Times New Roman" w:cs="Times New Roman" w:eastAsia="Times New Roman" w:hAnsi="Times New Roman"/>
          <w:i/>
          <w:iCs/>
          <w:sz w:val="24"/>
          <w:szCs w:val="24"/>
        </w:rPr>
        <w:t xml:space="preserve">If the SCN is under Section 73, the 100% penalty proposal is bad in law; cap it at 10%. If under Section 74, the fraud ingredient must be specifically alleged and made out (cross-reference the Section 74 omnibus-allegation argument).</w:t>
      </w:r>
    </w:p>
    <w:p>
      <w:pPr>
        <w:spacing w:after="80"/>
        <w:jc w:val="both"/>
      </w:pPr>
      <w:r>
        <w:rPr>
          <w:rFonts w:ascii="Times New Roman" w:cs="Times New Roman" w:eastAsia="Times New Roman" w:hAnsi="Times New Roman"/>
          <w:i/>
          <w:iCs/>
          <w:sz w:val="24"/>
          <w:szCs w:val="24"/>
        </w:rPr>
        <w:t xml:space="preserve">Reduced-penalty windows: s.73(8) nil/again 10%; s.74(5) 15% before SCN, s.74(8) 25% within 30 days of SCN, 50% within 30 days of order. Period check: Section 74A governs FY 2024-25 onward; ss.73/74 for earlier periods. Insert which section the SCN invokes.</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notice proposes a penalty equal to 100% of the tax and refers to a “penalty under Section 50”. Both are misconceived. Section 50 provides for interest, not penalty. Under Section 73, the maximum penalty is 10% of the tax (or Rs. 10,000, whichever is higher); a penalty equal to the tax is leviable only under Section 74, and only where fraud, wilful misstatement or suppression of facts to evade tax is alleged and established.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There is no ‘penalty under Section 50’. </w:t>
      </w:r>
      <w:r>
        <w:rPr>
          <w:rFonts w:ascii="Times New Roman" w:cs="Times New Roman" w:eastAsia="Times New Roman" w:hAnsi="Times New Roman"/>
          <w:sz w:val="24"/>
          <w:szCs w:val="24"/>
        </w:rPr>
        <w:t xml:space="preserve">Section 50 deals only with interest on delayed payment of tax and on wrongly availed and utilised input tax credit. It does not provide for any penalty. The reference in the notice to a “penalty under Section 50” is misconceived and is denied.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Under Section 73 the penalty is only 10%. </w:t>
      </w:r>
      <w:r>
        <w:rPr>
          <w:rFonts w:ascii="Times New Roman" w:cs="Times New Roman" w:eastAsia="Times New Roman" w:hAnsi="Times New Roman"/>
          <w:sz w:val="24"/>
          <w:szCs w:val="24"/>
        </w:rPr>
        <w:t xml:space="preserve">Where the demand is raised under Section 73 (that is, for a reason other than fraud, wilful misstatement or suppression), Section 73(9) limits the penalty to 10% of the tax or Rs. 10,000, whichever is higher. A penalty equal to 100% of the tax cannot be imposed in a proceeding under Section 73; the proposal to that effect is contrary to the statute.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An equal penalty requires Section 74 and proof of fraud. </w:t>
      </w:r>
      <w:r>
        <w:rPr>
          <w:rFonts w:ascii="Times New Roman" w:cs="Times New Roman" w:eastAsia="Times New Roman" w:hAnsi="Times New Roman"/>
          <w:sz w:val="24"/>
          <w:szCs w:val="24"/>
        </w:rPr>
        <w:t xml:space="preserve">A penalty equal to the tax is leviable only under Section 74(9), which is attracted solely where tax is unpaid or input tax credit is wrongly availed ‘by reason of fraud, or any wilful misstatement or suppression of facts to evade tax’. The notice discloses no such ingredient with particulars; in the absence of a specific and substantiated allegation of fraud, Section 74 and its equal penalty are not attracted.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Reduced penalty in any event. </w:t>
      </w:r>
      <w:r>
        <w:rPr>
          <w:rFonts w:ascii="Times New Roman" w:cs="Times New Roman" w:eastAsia="Times New Roman" w:hAnsi="Times New Roman"/>
          <w:sz w:val="24"/>
          <w:szCs w:val="24"/>
        </w:rPr>
        <w:t xml:space="preserve">Without prejudice, the noticee is entitled to the reduced-penalty benefits — under Section 73, no penalty where the tax with interest is paid within thirty days of the notice; and under Section 74, the reduced penalties of 15%, 25% or 50% on payment within the respective windows.</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proposal for a penalty equal to 100% of the tax, and the reference to a penalty under Section 50, be dropped; that any penalty, if at all, be confined to that permitted by the provision correctly applicable; and that an opportunity of personal hearing be granted.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2026-06-15T11:35:20.076Z</dcterms:created>
  <dcterms:modified xsi:type="dcterms:W3CDTF">2026-06-15T11:35:20.076Z</dcterms:modified>
</cp:coreProperties>
</file>

<file path=docProps/custom.xml><?xml version="1.0" encoding="utf-8"?>
<Properties xmlns="http://schemas.openxmlformats.org/officeDocument/2006/custom-properties" xmlns:vt="http://schemas.openxmlformats.org/officeDocument/2006/docPropsVTypes"/>
</file>