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 / Proper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Communication (Section 64)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communication issued under Section 64 of the CGST Act demanding documents for the purpose of summary assessment.</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Section 64 is an EXCEPTIONAL, protective power to make an immediate assessment on evidence of tax liability already coming to the officer’s notice; it requires (a) such evidence on record, (b) the PRIOR PERMISSION of the Additional/Joint Commissioner, and (c) sufficient grounds to believe that delay will adversely affect the revenue. It is not a route to call for documents.</w:t>
      </w:r>
    </w:p>
    <w:p>
      <w:pPr>
        <w:spacing w:after="80"/>
        <w:jc w:val="both"/>
      </w:pPr>
      <w:r>
        <w:rPr>
          <w:rFonts w:ascii="Times New Roman" w:cs="Times New Roman" w:eastAsia="Times New Roman" w:hAnsi="Times New Roman"/>
          <w:i/>
          <w:iCs/>
          <w:sz w:val="24"/>
          <w:szCs w:val="24"/>
        </w:rPr>
        <w:t xml:space="preserve">A ‘communication under Section 64 demanding documents’ without the jurisdictional pre-conditions is misconceived; if records are needed, the routes are Section 61 (ASMT-10), 65/66 (audit) or 70 (summons). The order, if any, must be in ASMT-16 (summary in DRC-07); withdrawal lies under Section 64(2) in ASMT-17.</w:t>
      </w:r>
    </w:p>
    <w:p>
      <w:pPr>
        <w:spacing w:after="80"/>
        <w:jc w:val="both"/>
      </w:pPr>
      <w:r>
        <w:rPr>
          <w:rFonts w:ascii="Times New Roman" w:cs="Times New Roman" w:eastAsia="Times New Roman" w:hAnsi="Times New Roman"/>
          <w:i/>
          <w:iCs/>
          <w:sz w:val="24"/>
          <w:szCs w:val="24"/>
        </w:rPr>
        <w:t xml:space="preserve">Insert the communication reference and the list of documents demanded.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communication invokes Section 64 and calls for documents ‘for the purpose of assessment’. Section 64 does not contemplate any such exercise. It is an exceptional, protective provision under which the proper officer, on evidence of a tax liability already coming to his notice and with the prior permission of the Additional or Joint Commissioner, may proceed to an immediate assessment to protect the revenue. It is not a vehicle for calling upon a taxpayer to produce documents.</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64 is a protective power exercised on existing evidence. </w:t>
      </w:r>
      <w:r>
        <w:rPr>
          <w:rFonts w:ascii="Times New Roman" w:cs="Times New Roman" w:eastAsia="Times New Roman" w:hAnsi="Times New Roman"/>
          <w:sz w:val="24"/>
          <w:szCs w:val="24"/>
        </w:rPr>
        <w:t xml:space="preserve">Section 64(1) empowers the proper officer to assess the tax liability of a person only ‘on any evidence showing a tax liability of a person coming to his notice’, and only where he has sufficient grounds to believe that any delay will adversely affect the interest of revenue. It presupposes evidence already on record; it does not authorise a fishing exercise to gather such evidence.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jurisdictional pre-conditions are absent. </w:t>
      </w:r>
      <w:r>
        <w:rPr>
          <w:rFonts w:ascii="Times New Roman" w:cs="Times New Roman" w:eastAsia="Times New Roman" w:hAnsi="Times New Roman"/>
          <w:sz w:val="24"/>
          <w:szCs w:val="24"/>
        </w:rPr>
        <w:t xml:space="preserve">A summary assessment under Section 64 requires the previous permission of the Additional Commissioner or Joint Commissioner. The communication discloses neither the evidence said to show a tax liability, nor any such permission, nor any basis for apprehending that delay would prejudice the revenue. It is therefore without jurisdiction.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Documents are to be called through the appropriate provision. </w:t>
      </w:r>
      <w:r>
        <w:rPr>
          <w:rFonts w:ascii="Times New Roman" w:cs="Times New Roman" w:eastAsia="Times New Roman" w:hAnsi="Times New Roman"/>
          <w:sz w:val="24"/>
          <w:szCs w:val="24"/>
        </w:rPr>
        <w:t xml:space="preserve">If this office requires the noticee’s records, the Act provides the appropriate routes — scrutiny under Section 61 with a notice in Form ASMT-10 specifying the discrepancy, audit under Sections 65/66, or summons under Section 70. Section 64 is not a substitute for any of these, and a demand for documents under its colour is misconceived.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Procedure on a Section 64 order. </w:t>
      </w:r>
      <w:r>
        <w:rPr>
          <w:rFonts w:ascii="Times New Roman" w:cs="Times New Roman" w:eastAsia="Times New Roman" w:hAnsi="Times New Roman"/>
          <w:sz w:val="24"/>
          <w:szCs w:val="24"/>
        </w:rPr>
        <w:t xml:space="preserve">Any order under Section 64(1) must be made in Form GST ASMT-16, with a summary uploaded in Form GST DRC-07, and is liable to be withdrawn under Section 64(2) on an application in Form GST ASMT-17. No occasion for any of this arises on the present communication.</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communication under Section 64 be treated as not maintainable for the production of documents; and that any requirement for records be made, if at all, through a notice issued under the appropriate provision of the Act.</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2026-06-15T11:35:20.102Z</dcterms:created>
  <dcterms:modified xsi:type="dcterms:W3CDTF">2026-06-15T11:35:20.102Z</dcterms:modified>
</cp:coreProperties>
</file>

<file path=docProps/custom.xml><?xml version="1.0" encoding="utf-8"?>
<Properties xmlns="http://schemas.openxmlformats.org/officeDocument/2006/custom-properties" xmlns:vt="http://schemas.openxmlformats.org/officeDocument/2006/docPropsVTypes"/>
</file>