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Bikaner,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(DRC-01 /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alleging excess input tax credit availed in Form GSTR-3B over Form GSTR-2A in June 2020 (period March 2020 to September 2020), the credit being within the cumulative limit permitted by the proviso to Rule 36(4).</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Notification 30/2020-CT dated 03.04.2020 inserted the proviso to Rule 36(4) — the 10% condition applies CUMULATIVELY for Feb to Aug 2020, with the cumulative adjustment to be made in the September 2020 GSTR-3B. So month-wise excess (e.g., June 2020) is permissible if the cumulative position up to September 2020 is within the cap.</w:t>
      </w:r>
    </w:p>
    <w:p>
      <w:pPr>
        <w:spacing w:after="80"/>
        <w:jc w:val="both"/>
      </w:pPr>
      <w:r>
        <w:rPr>
          <w:rFonts w:ascii="Times New Roman" w:cs="Times New Roman" w:eastAsia="Times New Roman" w:hAnsi="Times New Roman"/>
          <w:i/>
          <w:iCs/>
          <w:sz w:val="24"/>
          <w:szCs w:val="24"/>
        </w:rPr>
        <w:t xml:space="preserve">Mechanics (Circular 142/12/2020-GST, 09.10.2020): reconcile Feb–Aug 2020 ITC against invoices uploaded up to the September GSTR-1 due date; cumulative ITC not to exceed 110% of eligible credit; excess reversed in Table 4(B)(2) of September 2020 GSTR-3B.</w:t>
      </w:r>
    </w:p>
    <w:p>
      <w:pPr>
        <w:spacing w:after="80"/>
        <w:jc w:val="both"/>
      </w:pPr>
      <w:r>
        <w:rPr>
          <w:rFonts w:ascii="Times New Roman" w:cs="Times New Roman" w:eastAsia="Times New Roman" w:hAnsi="Times New Roman"/>
          <w:i/>
          <w:iCs/>
          <w:sz w:val="24"/>
          <w:szCs w:val="24"/>
        </w:rPr>
        <w:t xml:space="preserve">Annex the monthly and consolidated cumulative ITC chart demonstrating compliance up to September 2020.</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For the months February to August 2020, the input tax credit restriction in Rule 36(4) applied not month by month but cumulatively, with the cumulative adjustment to be made in the return for September 2020. The notice, by testing the credit availed in June 2020 in isolation against that month’s Form GSTR-2A, misapplies the rule. On the cumulative basis that the proviso requires, the noticee’s availment is within the permitted limit.</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36(4) applied cumulatively for February to August 2020. </w:t>
      </w:r>
      <w:r>
        <w:rPr>
          <w:rFonts w:ascii="Times New Roman" w:cs="Times New Roman" w:eastAsia="Times New Roman" w:hAnsi="Times New Roman"/>
          <w:sz w:val="24"/>
          <w:szCs w:val="24"/>
        </w:rPr>
        <w:t xml:space="preserve">By the proviso to Rule 36(4), inserted by Notification 30/2020-Central Tax dated 03.04.2020, the condition restricting credit on un-uploaded invoices was to apply cumulatively for the period February, March, April, May, June, July and August 2020, and the return in Form GSTR-3B for September 2020 was to be furnished with the cumulative adjustment of input tax credit for those months.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month-wise comparison is misconceived. </w:t>
      </w:r>
      <w:r>
        <w:rPr>
          <w:rFonts w:ascii="Times New Roman" w:cs="Times New Roman" w:eastAsia="Times New Roman" w:hAnsi="Times New Roman"/>
          <w:sz w:val="24"/>
          <w:szCs w:val="24"/>
        </w:rPr>
        <w:t xml:space="preserve">Testing June 2020 in isolation against June 2020’s Form GSTR-2A is contrary to the proviso, which expressly substitutes a cumulative test for the period. No excess can be founded on a single month’s figures during February to August 2020.</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noticee’s availment is within the cumulative cap. </w:t>
      </w:r>
      <w:r>
        <w:rPr>
          <w:rFonts w:ascii="Times New Roman" w:cs="Times New Roman" w:eastAsia="Times New Roman" w:hAnsi="Times New Roman"/>
          <w:sz w:val="24"/>
          <w:szCs w:val="24"/>
        </w:rPr>
        <w:t xml:space="preserve">As the annexed monthly and consolidated cumulative chart demonstrates, the noticee’s aggregate credit for February to August 2020, after the cumulative adjustment in the September 2020 return, is within the limit permitted by Rule 36(4) read with its proviso and the Board’s clarification in Circular 142/12/2020-GST. There is no excess.</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proceedings be dropped, the credit having been availed within the cumulative limit permitted by the proviso to Rule 36(4);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2026-06-16T04:08:19.541Z</dcterms:created>
  <dcterms:modified xsi:type="dcterms:W3CDTF">2026-06-16T04:08:19.541Z</dcterms:modified>
</cp:coreProperties>
</file>

<file path=docProps/custom.xml><?xml version="1.0" encoding="utf-8"?>
<Properties xmlns="http://schemas.openxmlformats.org/officeDocument/2006/custom-properties" xmlns:vt="http://schemas.openxmlformats.org/officeDocument/2006/docPropsVTypes"/>
</file>