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73/74 demanding interest on a difference between Form GSTR-1 and Form GSTR-3B, the noticee having held sufficient balance in the Electronic Credit Ledger.</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the first proviso to Section 50(1) (retrospective from 01.07.2017, Notif 16/2021; computed under Rule 88B, Notif 14/2022) charges interest, on tax declared in a return furnished after the due date, only on the portion paid by debiting the CASH ledger — not on the portion set off from the credit ledger — except where the return is filed after Section 73/74 proceedings commenced.</w:t>
      </w:r>
    </w:p>
    <w:p>
      <w:pPr>
        <w:spacing w:after="80"/>
        <w:jc w:val="both"/>
      </w:pPr>
      <w:r>
        <w:rPr>
          <w:rFonts w:ascii="Times New Roman" w:cs="Times New Roman" w:eastAsia="Times New Roman" w:hAnsi="Times New Roman"/>
          <w:i/>
          <w:iCs/>
          <w:sz w:val="24"/>
          <w:szCs w:val="24"/>
        </w:rPr>
        <w:t xml:space="preserve">Where sufficient ITC/credit-ledger balance existed, no interest on the credit-paid portion (Refex Industries; Eicher Motors). Note the Notif 12/2024 proviso to Rule 88B (amounts in the cash ledger by the due date excluded).</w:t>
      </w:r>
    </w:p>
    <w:p>
      <w:pPr>
        <w:spacing w:after="80"/>
        <w:jc w:val="both"/>
      </w:pPr>
      <w:r>
        <w:rPr>
          <w:rFonts w:ascii="Times New Roman" w:cs="Times New Roman" w:eastAsia="Times New Roman" w:hAnsi="Times New Roman"/>
          <w:i/>
          <w:iCs/>
          <w:sz w:val="24"/>
          <w:szCs w:val="24"/>
        </w:rPr>
        <w:t xml:space="preserve">Annex the cash/credit ledger extracts and a working of the net cash component, if any. Confirm the late return was NOT filed after Section 73/74 proceedings began.</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interest demanded is excessive. By the first proviso to Section 50(1), interest on tax declared in a return furnished after the due date is payable only on that portion of the tax which is paid by debiting the Electronic Cash Ledger. The noticee held sufficient balance in its Electronic Credit Ledger; the tax was, to that extent, discharged from credit, and no interest arises on that portion.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Interest is on the net cash component only. </w:t>
      </w:r>
      <w:r>
        <w:rPr>
          <w:rFonts w:ascii="Times New Roman" w:cs="Times New Roman" w:eastAsia="Times New Roman" w:hAnsi="Times New Roman"/>
          <w:sz w:val="24"/>
          <w:szCs w:val="24"/>
        </w:rPr>
        <w:t xml:space="preserve">The first proviso to Section 50(1), inserted with retrospective effect from 01.07.2017 and given effect by Rule 88B, provides that interest on tax declared in a return furnished after the due date is payable only on the portion paid by debiting the Electronic Cash Ledger (except where the return is furnished after the commencement of proceedings under Section 73 or 74). Interest on the portion set off from the Electronic Credit Ledger is not payable.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Sufficient credit balance was available. </w:t>
      </w:r>
      <w:r>
        <w:rPr>
          <w:rFonts w:ascii="Times New Roman" w:cs="Times New Roman" w:eastAsia="Times New Roman" w:hAnsi="Times New Roman"/>
          <w:sz w:val="24"/>
          <w:szCs w:val="24"/>
        </w:rPr>
        <w:t xml:space="preserve">The noticee held sufficient balance in its Electronic Credit Ledger throughout the relevant period, as the annexed ledger extracts establish. The tax was discharged to that extent from credit; no interest arises on the credit-paid portion. Reliance is placed on the decisions holding that, where sufficient input tax credit is available, no interest under Section 50 is attracted on the credit-discharged portion.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Recomputation. </w:t>
      </w:r>
      <w:r>
        <w:rPr>
          <w:rFonts w:ascii="Times New Roman" w:cs="Times New Roman" w:eastAsia="Times New Roman" w:hAnsi="Times New Roman"/>
          <w:sz w:val="24"/>
          <w:szCs w:val="24"/>
        </w:rPr>
        <w:t xml:space="preserve">On a correct computation, interest, if any, is payable only on the net cash component of Rs. ____, namely Rs. ____, as against Rs. ____ demanded. The noticee has paid / undertakes to pay the correctly computed amount.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interest demand be recomputed on the net cash component alone and confirmed only to that extent;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2026-06-16T13:59:26.123Z</dcterms:created>
  <dcterms:modified xsi:type="dcterms:W3CDTF">2026-06-16T13:59:26.123Z</dcterms:modified>
</cp:coreProperties>
</file>

<file path=docProps/custom.xml><?xml version="1.0" encoding="utf-8"?>
<Properties xmlns="http://schemas.openxmlformats.org/officeDocument/2006/custom-properties" xmlns:vt="http://schemas.openxmlformats.org/officeDocument/2006/docPropsVTypes"/>
</file>