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 / Refund Sanctioning Authority,</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GST RFD-08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RFD-08 proposing rejection of the refund of accumulated input tax credit under the inverted duty structure on the ground that the noticee’s trading turnover exceeds its manufacturing turnover.</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CITATION CORRECTION: the inverted-duty refund and its formula are under RULE 89(5) read with Section 54(3)(ii) — NOT Rule 96(4)/96(5) (which deal with IGST refund on exports). Do not cite Rule 96.</w:t>
      </w:r>
    </w:p>
    <w:p>
      <w:pPr>
        <w:spacing w:after="80"/>
        <w:jc w:val="both"/>
      </w:pPr>
      <w:r>
        <w:rPr>
          <w:rFonts w:ascii="Times New Roman" w:cs="Times New Roman" w:eastAsia="Times New Roman" w:hAnsi="Times New Roman"/>
          <w:i/>
          <w:iCs/>
          <w:sz w:val="24"/>
          <w:szCs w:val="24"/>
        </w:rPr>
        <w:t xml:space="preserve">Core lever: there is no condition that the claimant be a manufacturer; a trader/dealer can claim inverted-duty refund where the input tax rate exceeds the output tax rate. ‘Trading more than manufacture’ is not a ground under Section 54(3)(ii) or Rule 89(5).</w:t>
      </w:r>
    </w:p>
    <w:p>
      <w:pPr>
        <w:spacing w:after="80"/>
        <w:jc w:val="both"/>
      </w:pPr>
      <w:r>
        <w:rPr>
          <w:rFonts w:ascii="Times New Roman" w:cs="Times New Roman" w:eastAsia="Times New Roman" w:hAnsi="Times New Roman"/>
          <w:i/>
          <w:iCs/>
          <w:sz w:val="24"/>
          <w:szCs w:val="24"/>
        </w:rPr>
        <w:t xml:space="preserve">Net ITC = ITC on inputs/goods only (not input services/capital goods) per Rule 89(5) as amended (Notif 14/2022) after VKC Footsteps (SC, 13.09.2021). Circular 135/05/2020 bars refund only where input and output are the SAME good and inversion is due to a rate change over time — distinguish if the goods differ. HC line holding Circular 135 ultra vires: Shivaco Associates (Cal), Malabar Fuel (Ker), IOCL (Del).</w:t>
      </w:r>
    </w:p>
    <w:p>
      <w:pPr>
        <w:spacing w:after="80"/>
        <w:jc w:val="both"/>
      </w:pPr>
      <w:r>
        <w:rPr>
          <w:rFonts w:ascii="Times New Roman" w:cs="Times New Roman" w:eastAsia="Times New Roman" w:hAnsi="Times New Roman"/>
          <w:i/>
          <w:iCs/>
          <w:sz w:val="24"/>
          <w:szCs w:val="24"/>
        </w:rPr>
        <w:t xml:space="preserve">Annex the inverted-rate working under Rule 89(5).</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refund is of accumulated input tax credit arising because the rate of tax on the noticee’s inputs is higher than that on its output supplies — an inverted duty structure. The refund is governed by Section 54(3)(ii) read with Rule 89(5). Neither provision requires the claimant to be a manufacturer; the proportion of trading to manufacturing turnover is irrelevant to the entitlement. The ground of rejection is not one known to the law.</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entitlement under Section 54(3)(ii). </w:t>
      </w:r>
      <w:r>
        <w:rPr>
          <w:rFonts w:ascii="Times New Roman" w:cs="Times New Roman" w:eastAsia="Times New Roman" w:hAnsi="Times New Roman"/>
          <w:sz w:val="24"/>
          <w:szCs w:val="24"/>
        </w:rPr>
        <w:t xml:space="preserve">Section 54(3)(ii) allows refund of unutilised input tax credit where the credit has accumulated on account of the rate of tax on inputs being higher than the rate of tax on output supplies (other than nil-rated or fully exempt supplies). The refund is computed under the formula in Rule 89(5). The provision applies to any registered person meeting that condition, whether a trader or a manufacturer.</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There is no manufacturer-only condition. </w:t>
      </w:r>
      <w:r>
        <w:rPr>
          <w:rFonts w:ascii="Times New Roman" w:cs="Times New Roman" w:eastAsia="Times New Roman" w:hAnsi="Times New Roman"/>
          <w:sz w:val="24"/>
          <w:szCs w:val="24"/>
        </w:rPr>
        <w:t xml:space="preserve">Nothing in Section 54(3)(ii) or Rule 89(5) confines the inverted-duty refund to manufacturers, or makes the ratio of trading to manufacturing turnover a criterion. The ground that “trading is more than manufacture” is extraneous to the statute and the rule and cannot sustain a rejection.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Circular 135/05/2020 is not attracted. </w:t>
      </w:r>
      <w:r>
        <w:rPr>
          <w:rFonts w:ascii="Times New Roman" w:cs="Times New Roman" w:eastAsia="Times New Roman" w:hAnsi="Times New Roman"/>
          <w:sz w:val="24"/>
          <w:szCs w:val="24"/>
        </w:rPr>
        <w:t xml:space="preserve">The restriction in Circular 135/05/2020-GST applies only where the input and output are the same goods and the accumulation is due merely to a change in the rate of tax over time. That is not the present case, the inputs and outputs being different and the inversion being contemporaneous. In any event, that restriction has been held by the High Courts (in Shivaco Associates, Malabar Fuel Corporation and Indian Oil Corporation) to be ultra vires Section 54(3)(ii) to the extent it curtails the statutory entitlement.</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Computation. </w:t>
      </w:r>
      <w:r>
        <w:rPr>
          <w:rFonts w:ascii="Times New Roman" w:cs="Times New Roman" w:eastAsia="Times New Roman" w:hAnsi="Times New Roman"/>
          <w:sz w:val="24"/>
          <w:szCs w:val="24"/>
        </w:rPr>
        <w:t xml:space="preserve">The noticee’s refund, worked under the formula in Rule 89(5) (with Net ITC taken as the input tax credit on inputs), is Rs. ____, as set out in the annexed working. The claim is in order.</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proposed rejection be dropped and the refund of accumulated input tax credit under the inverted duty structure be sanctioned with applicable interest under Section 56;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2026-06-16T13:59:26.446Z</dcterms:created>
  <dcterms:modified xsi:type="dcterms:W3CDTF">2026-06-16T13:59:26.446Z</dcterms:modified>
</cp:coreProperties>
</file>

<file path=docProps/custom.xml><?xml version="1.0" encoding="utf-8"?>
<Properties xmlns="http://schemas.openxmlformats.org/officeDocument/2006/custom-properties" xmlns:vt="http://schemas.openxmlformats.org/officeDocument/2006/docPropsVTypes"/>
</file>