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Section 73 / Audit Observation)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 audit observation requiring payment of GST / reversal of input tax credit in respect of a commercial (financial) credit note received without GST from the supplier as a secondary / cash discount.</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 financial/commercial credit note WITHOUT GST (secondary/cash/early-payment discount) does not require ITC reversal by the recipient — the original transaction value and the tax charged are unchanged and the supplier has not reduced its tax. Distinguish a GST credit note (Section 34, with tax) from a financial credit note (no tax).</w:t>
      </w:r>
    </w:p>
    <w:p>
      <w:pPr>
        <w:spacing w:after="80"/>
        <w:jc w:val="both"/>
      </w:pPr>
      <w:r>
        <w:rPr>
          <w:rFonts w:ascii="Times New Roman" w:cs="Times New Roman" w:eastAsia="Times New Roman" w:hAnsi="Times New Roman"/>
          <w:i/>
          <w:iCs/>
          <w:sz w:val="24"/>
          <w:szCs w:val="24"/>
        </w:rPr>
        <w:t xml:space="preserve">Authority: Circular 92/11/2019-GST (07.03.2019), Part D — commercial credit notes without GST are permissible and there is no impact on the recipient’s ITC; reinforced by Circular 251/08/2025-GST. Circular 212/17/2024-GST sets the mechanism for the supplier to show Section 15(3)(b)(ii) compliance for post-sale discounts.</w:t>
      </w:r>
    </w:p>
    <w:p>
      <w:pPr>
        <w:spacing w:after="80"/>
        <w:jc w:val="both"/>
      </w:pPr>
      <w:r>
        <w:rPr>
          <w:rFonts w:ascii="Times New Roman" w:cs="Times New Roman" w:eastAsia="Times New Roman" w:hAnsi="Times New Roman"/>
          <w:i/>
          <w:iCs/>
          <w:sz w:val="24"/>
          <w:szCs w:val="24"/>
        </w:rPr>
        <w:t xml:space="preserve">Annex the credit note (showing no GST), the purchase invoice, and the payment/discount terms.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credit note in question is a commercial (financial) credit note, issued by the supplier without any GST, on account of a secondary / cash discount for early payment. Such a credit note does not reduce the value of the original supply for GST purposes and carries no tax; the supplier has not reduced its output tax, and there is correspondingly nothing for the noticee to reverse. The demand for GST / reversal of input tax credit is misconceived.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financial credit note is distinct from a GST credit note. </w:t>
      </w:r>
      <w:r>
        <w:rPr>
          <w:rFonts w:ascii="Times New Roman" w:cs="Times New Roman" w:eastAsia="Times New Roman" w:hAnsi="Times New Roman"/>
          <w:sz w:val="24"/>
          <w:szCs w:val="24"/>
        </w:rPr>
        <w:t xml:space="preserve">A credit note under Section 34, issued with GST, requires the recipient to reverse the corresponding input tax credit because the supplier reduces its output tax. A financial / commercial credit note, issued without GST for a secondary discount, does not reduce the supplier’s output tax and does not affect the recipient’s input tax credit. The credit note here is of the latter kind.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 has so clarified. </w:t>
      </w:r>
      <w:r>
        <w:rPr>
          <w:rFonts w:ascii="Times New Roman" w:cs="Times New Roman" w:eastAsia="Times New Roman" w:hAnsi="Times New Roman"/>
          <w:sz w:val="24"/>
          <w:szCs w:val="24"/>
        </w:rPr>
        <w:t xml:space="preserve">Circular 92/11/2019-GST dated 07.03.2019 clarifies that financial / commercial credit notes may be issued for secondary discounts even where the conditions of Section 15(3)(b) are not met, that such secondary discounts are not to be excluded in determining the value of supply, and that there is no impact on the availability of input tax credit in the hands of the recipient. This has been reiterated, in the context of post-sale discounts, by Circular 251/08/2025-GST.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reversal arises. </w:t>
      </w:r>
      <w:r>
        <w:rPr>
          <w:rFonts w:ascii="Times New Roman" w:cs="Times New Roman" w:eastAsia="Times New Roman" w:hAnsi="Times New Roman"/>
          <w:sz w:val="24"/>
          <w:szCs w:val="24"/>
        </w:rPr>
        <w:t xml:space="preserve">The tax originally charged on the purchase remains unchanged, and the input tax credit availed on the purchase is unaffected by the receipt of a financial credit note without GST. No reversal of input tax credit, and no payment of GST, arises on account of the said credit note.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demand / reversal be dropped, the credit note being a financial credit note without GST that does not affect the noticee’s input tax credit;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2026-06-16T13:59:26.510Z</dcterms:created>
  <dcterms:modified xsi:type="dcterms:W3CDTF">2026-06-16T13:59:26.510Z</dcterms:modified>
</cp:coreProperties>
</file>

<file path=docProps/custom.xml><?xml version="1.0" encoding="utf-8"?>
<Properties xmlns="http://schemas.openxmlformats.org/officeDocument/2006/custom-properties" xmlns:vt="http://schemas.openxmlformats.org/officeDocument/2006/docPropsVTypes"/>
</file>