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val="0"/>
          <w:i w:val="0"/>
          <w:sz w:val="24"/>
        </w:rPr>
        <w:t>To,</w:t>
      </w:r>
    </w:p>
    <w:p>
      <w:pPr>
        <w:jc w:val="left"/>
      </w:pPr>
      <w:r>
        <w:rPr>
          <w:rFonts w:ascii="Times New Roman" w:hAnsi="Times New Roman"/>
          <w:b w:val="0"/>
          <w:i w:val="0"/>
          <w:sz w:val="24"/>
        </w:rPr>
        <w:t>The Superintendent of Central Tax,</w:t>
      </w:r>
    </w:p>
    <w:p>
      <w:pPr>
        <w:jc w:val="left"/>
      </w:pPr>
      <w:r>
        <w:rPr>
          <w:rFonts w:ascii="Times New Roman" w:hAnsi="Times New Roman"/>
          <w:b w:val="0"/>
          <w:i w:val="0"/>
          <w:sz w:val="24"/>
        </w:rPr>
        <w:t>[Range / Division], [Commissionerate]</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Trade Name: M/s Notice Desk Private Limited</w:t>
      </w:r>
    </w:p>
    <w:p>
      <w:pPr>
        <w:jc w:val="left"/>
      </w:pPr>
      <w:r>
        <w:rPr>
          <w:rFonts w:ascii="Times New Roman" w:hAnsi="Times New Roman"/>
          <w:b w:val="0"/>
          <w:i w:val="0"/>
          <w:sz w:val="24"/>
        </w:rPr>
        <w:t>Reference (SCN) No.: ____________  dated __________</w:t>
      </w:r>
    </w:p>
    <w:p>
      <w:pPr>
        <w:jc w:val="left"/>
      </w:pPr>
      <w:r>
        <w:rPr>
          <w:rFonts w:ascii="Times New Roman" w:hAnsi="Times New Roman"/>
          <w:b w:val="0"/>
          <w:i w:val="0"/>
          <w:sz w:val="24"/>
        </w:rPr>
        <w:t>Subject: Reply intimating that the best judgment assessment order under Section 62 stands deemed withdrawn on furnishing of the valid return</w:t>
      </w:r>
    </w:p>
    <w:p>
      <w:pPr>
        <w:jc w:val="left"/>
      </w:pPr>
      <w:r>
        <w:rPr>
          <w:rFonts w:ascii="Times New Roman" w:hAnsi="Times New Roman"/>
          <w:b w:val="0"/>
          <w:i w:val="0"/>
          <w:sz w:val="24"/>
        </w:rPr>
      </w:r>
    </w:p>
    <w:p>
      <w:pPr>
        <w:jc w:val="left"/>
      </w:pPr>
      <w:r>
        <w:rPr>
          <w:rFonts w:ascii="Times New Roman" w:hAnsi="Times New Roman"/>
          <w:b w:val="0"/>
          <w:i/>
          <w:sz w:val="24"/>
        </w:rPr>
        <w:t>Drafting note (remove before filing).</w:t>
      </w:r>
    </w:p>
    <w:p>
      <w:pPr>
        <w:jc w:val="both"/>
      </w:pPr>
      <w:r>
        <w:rPr>
          <w:rFonts w:ascii="Times New Roman" w:hAnsi="Times New Roman"/>
          <w:b w:val="0"/>
          <w:i/>
          <w:sz w:val="24"/>
        </w:rPr>
        <w:t>Re-anchored argument: this drafts the within-time scenario (return filed within 30 days of service of the S62 order); the beyond-30-days scenario is separately covered at S186. Placeholders: date of service of the S62 order and date of filing of the return under Section 39 need to be confirmed against the portal trail.</w:t>
      </w:r>
    </w:p>
    <w:p>
      <w:pPr>
        <w:jc w:val="left"/>
      </w:pPr>
      <w:r>
        <w:rPr>
          <w:rFonts w:ascii="Times New Roman" w:hAnsi="Times New Roman"/>
          <w:b w:val="0"/>
          <w:i w:val="0"/>
          <w:sz w:val="24"/>
        </w:rPr>
      </w:r>
    </w:p>
    <w:p>
      <w:pPr>
        <w:jc w:val="left"/>
      </w:pPr>
      <w:r>
        <w:rPr>
          <w:rFonts w:ascii="Times New Roman" w:hAnsi="Times New Roman"/>
          <w:b/>
          <w:i w:val="0"/>
          <w:sz w:val="24"/>
        </w:rPr>
        <w:t>Synopsis</w:t>
      </w:r>
    </w:p>
    <w:p>
      <w:pPr>
        <w:jc w:val="both"/>
      </w:pPr>
      <w:r>
        <w:rPr>
          <w:rFonts w:ascii="Times New Roman" w:hAnsi="Times New Roman"/>
          <w:b w:val="0"/>
          <w:i w:val="0"/>
          <w:sz w:val="24"/>
        </w:rPr>
        <w:t>An assessment order was passed under Section 62(1) on the registered person's failure to file the return under Section 39 despite notice under Section 46. The registered person has since furnished the valid return for the relevant tax period, together with applicable interest under Section 50(1) and late fee under Section 47, within thirty days of service of the assessment order.</w:t>
      </w:r>
    </w:p>
    <w:p>
      <w:pPr>
        <w:jc w:val="left"/>
      </w:pPr>
      <w:r>
        <w:rPr>
          <w:rFonts w:ascii="Times New Roman" w:hAnsi="Times New Roman"/>
          <w:b/>
          <w:i w:val="0"/>
          <w:sz w:val="24"/>
        </w:rPr>
        <w:t>Submissions</w:t>
      </w:r>
    </w:p>
    <w:p>
      <w:pPr>
        <w:ind w:left="360"/>
        <w:jc w:val="both"/>
      </w:pPr>
      <w:r>
        <w:rPr>
          <w:rFonts w:ascii="Times New Roman" w:hAnsi="Times New Roman"/>
          <w:b w:val="0"/>
          <w:i w:val="0"/>
          <w:sz w:val="24"/>
        </w:rPr>
        <w:t>1. Section 62(2) provides that where the registered person furnishes a valid return within thirty days of the service of the assessment order, the said assessment order shall be deemed to have been withdrawn; however, liability for interest under sub-section (1) of Section 50 and late fee under Section 47 shall continue.</w:t>
      </w:r>
    </w:p>
    <w:p>
      <w:pPr>
        <w:ind w:left="360"/>
        <w:jc w:val="both"/>
      </w:pPr>
      <w:r>
        <w:rPr>
          <w:rFonts w:ascii="Times New Roman" w:hAnsi="Times New Roman"/>
          <w:b w:val="0"/>
          <w:i w:val="0"/>
          <w:sz w:val="24"/>
        </w:rPr>
        <w:t>2. The valid return, together with interest and late fee, having been furnished within the statutory window, the assessment order under Section 62(1) stands deemed withdrawn by operation of law; no further order or confirmation from the proper officer is a precondition for such withdrawal.</w:t>
      </w:r>
    </w:p>
    <w:p>
      <w:pPr>
        <w:ind w:left="360"/>
        <w:jc w:val="both"/>
      </w:pPr>
      <w:r>
        <w:rPr>
          <w:rFonts w:ascii="Times New Roman" w:hAnsi="Times New Roman"/>
          <w:b w:val="0"/>
          <w:i w:val="0"/>
          <w:sz w:val="24"/>
        </w:rPr>
        <w:t>3. Recovery proceedings, if any initiated on the basis of the now-withdrawn assessment order, are liable to be dropped, and the electronic liability register be updated to reflect that the demand raised under the said order no longer subsists.</w:t>
      </w:r>
    </w:p>
    <w:p>
      <w:pPr>
        <w:jc w:val="left"/>
      </w:pPr>
      <w:r>
        <w:rPr>
          <w:rFonts w:ascii="Times New Roman" w:hAnsi="Times New Roman"/>
          <w:b/>
          <w:i w:val="0"/>
          <w:sz w:val="24"/>
        </w:rPr>
        <w:t>Prayer</w:t>
      </w:r>
    </w:p>
    <w:p>
      <w:pPr>
        <w:ind w:left="360"/>
        <w:jc w:val="both"/>
      </w:pPr>
      <w:r>
        <w:rPr>
          <w:rFonts w:ascii="Times New Roman" w:hAnsi="Times New Roman"/>
          <w:b w:val="0"/>
          <w:i w:val="0"/>
          <w:sz w:val="24"/>
        </w:rPr>
        <w:t>1. It is respectfully prayed that it be recorded that the assessment order under Section 62(1) stands deemed withdrawn under Section 62(2), and that the electronic liability register be updated accordingly.</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For M/s Notice Desk Private Limited</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Authorised Signatory / Director</w:t>
      </w:r>
    </w:p>
    <w:p>
      <w:pPr>
        <w:jc w:val="left"/>
      </w:pPr>
      <w:r>
        <w:rPr>
          <w:rFonts w:ascii="Times New Roman" w:hAnsi="Times New Roman"/>
          <w:b w:val="0"/>
          <w:i w:val="0"/>
          <w:sz w:val="24"/>
        </w:rPr>
        <w:t>Place: Nasik</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