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Jaipur,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 (SCN / Form ASMT-10)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alleging excess input tax credit availed in Form GSTR-3B for April 2022, the credit having been availed on the basis of Form GSTR-2A in accordance with the GSTN Advisory dated 15.05.2022.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Clean win: the GSTN Advisory dated 15.05.2022 recorded that certain records were not reflected in GSTR-2B for April 2022 though visible in GSTR-2A, and advised affected taxpayers to file GSTR-3B on a self-assessment basis using GSTR-2A. The noticee did exactly that.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Support: due-date relief by Notif 05/2022-CT and 06/2022-CT (17.05.2022). Argue self-assessment (Bharti Airtel) and portal-glitch analogy (Ezzy Electricals, Guj HC; Sethi Sons, Del HC).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Honest flag: there is no reported HC judgment squarely on the April 2022 2B glitch — argue by analogy. Annex the advisory, the GSTR-2A, and the invoices. The advisory was deleted on 17.05.2022 once corrected 2B was generated; keep a dated copy.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April 2022, Form GSTR-2B did not reflect certain records that were visible in Form GSTR-2A, owing to a technical issue acknowledged by the GSTN. By its advisory dated 15.05.2022, the GSTN expressly advised affected taxpayers to file Form GSTR-3B on a self-assessment basis using Form GSTR-2A. The noticee availed its credit for April 2022 in accordance with that advisory. The credit is in order, and there is no excess.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credit was availed as the GSTN advised.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GSTN Advisory dated 15.05.2022 recorded that, for April 2022, certain records were not reflected in Form GSTR-2B although visible in Form GSTR-2A, and advised affected taxpayers to file their Form GSTR-3B on a self-assessment basis using Form GSTR-2A. The noticee availed its input tax credit for April 2022 on the basis of Form GSTR-2A in accordance with that advisory.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taxpayer cannot be faulted for following the Government’s own direction.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Having acted upon the express interim direction of the GSTN, the noticee cannot be visited with a demand for doing precisely what it was advised to do. The credit so availed is supported by valid invoices and satisfies the conditions of Section 16; the difference alleged in the notice is the very difference the advisory addressed.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technical glitch cannot defeat a substantive entitlement.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is settled that a substantive entitlement to input tax credit cannot be denied on account of a technical or portal glitch not attributable to the taxpayer. The credit, being otherwise eligible and duly availed, ought not to be disturbed.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proceedings be dropped, the credit for April 2022 having been availed on the basis of Form GSTR-2A in accordance with the GSTN Advisory dated 15.05.2022; and that an opportunity of personal hearing be granted before any adverse order.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2026-06-17T01:59:20.411Z</dcterms:created>
  <dcterms:modified xsi:type="dcterms:W3CDTF">2026-06-17T01:59:20.411Z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