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DRC-01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in Form GST DRC-01 proposing reversal of input tax credit, with interest, on the ground that the credit was availed under the wrong head (IGST instead of CGST/SGST, or vice versa) in FY 2017-18.</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a wrong-head ITC availment that is REVENUE NEUTRAL is not a ground for reversal/interest — it is a technical/clerical error, not ‘wrong availment’ under Section 73.</w:t>
      </w:r>
    </w:p>
    <w:p>
      <w:pPr>
        <w:spacing w:after="80"/>
        <w:jc w:val="both"/>
      </w:pPr>
      <w:r>
        <w:rPr>
          <w:rFonts w:ascii="Times New Roman" w:cs="Times New Roman" w:eastAsia="Times New Roman" w:hAnsi="Times New Roman"/>
          <w:i/>
          <w:iCs/>
          <w:sz w:val="24"/>
          <w:szCs w:val="24"/>
        </w:rPr>
        <w:t xml:space="preserve">Lead authority (verified): Rejimon Padickapparambil Alex v. Union of India (Kerala HC, Division Bench, WA No. 54 of 2024, 26.11.2024) — DB allowed the appeal; wrong-head availment is a technical error and revenue-neutral. Support: Maruthengal Moideen (Ker HC, 13.01.2025); Cosyn Limited (Cal HC).</w:t>
      </w:r>
    </w:p>
    <w:p>
      <w:pPr>
        <w:spacing w:after="80"/>
        <w:jc w:val="both"/>
      </w:pPr>
      <w:r>
        <w:rPr>
          <w:rFonts w:ascii="Times New Roman" w:cs="Times New Roman" w:eastAsia="Times New Roman" w:hAnsi="Times New Roman"/>
          <w:i/>
          <w:iCs/>
          <w:sz w:val="24"/>
          <w:szCs w:val="24"/>
        </w:rPr>
        <w:t xml:space="preserve">Interest: under Circular 192/04/2023-GST (17.07.2023) read with Rule 88B(3), interest under Section 50(3) arises only where the TOTAL credit balance across IGST/CGST/SGST falls below the wrongly-availed amount (actual utilisation to the Government’s detriment) — wrong-head availment not so utilised attracts no interest. Annex the head-wise credit-ledger balances.</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credit was availed under the wrong head — IGST in place of CGST/SGST (or vice versa) — owing to a clerical error at the time of recording the credit in Form GSTR-3B. The total credit to which the noticee was entitled is unaffected; the error is one of classification between heads and is revenue neutral. Such an error is not a wrong availment warranting reversal, nor does it attract interest, the Government having suffered no loss.</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error is one of head, not of entitlement. </w:t>
      </w:r>
      <w:r>
        <w:rPr>
          <w:rFonts w:ascii="Times New Roman" w:cs="Times New Roman" w:eastAsia="Times New Roman" w:hAnsi="Times New Roman"/>
          <w:sz w:val="24"/>
          <w:szCs w:val="24"/>
        </w:rPr>
        <w:t xml:space="preserve">The noticee was entitled to the input tax credit in question, having satisfied the conditions of Section 16 read with Rule 36; the only error is in the head under which the credit was recorded in Form GSTR-3B. The aggregate credit is unchanged. A classification error between heads is not a wrong availment of credit.</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A revenue-neutral error does not warrant reversal. </w:t>
      </w:r>
      <w:r>
        <w:rPr>
          <w:rFonts w:ascii="Times New Roman" w:cs="Times New Roman" w:eastAsia="Times New Roman" w:hAnsi="Times New Roman"/>
          <w:sz w:val="24"/>
          <w:szCs w:val="24"/>
        </w:rPr>
        <w:t xml:space="preserve">The error being revenue neutral — the Government having received the same total tax and the noticee having been entitled to the same total credit — there is no basis to reverse the credit. Reliance is placed on the judgment of the Division Bench of the Kerala High Court in Rejimon Padickapparambil Alex v. Union of India (26.11.2024), holding that availment under the wrong head is a technical error that is revenue neutral and does not warrant reversal under Section 73.</w:t>
      </w:r>
      <w:r>
        <w:rPr>
          <w:rFonts w:ascii="Times New Roman" w:cs="Times New Roman" w:eastAsia="Times New Roman" w:hAnsi="Times New Roman"/>
          <w:b/>
          <w:bCs/>
          <w:sz w:val="24"/>
          <w:szCs w:val="24"/>
        </w:rPr>
        <w:t xml:space="preserve"> [VERIFY]</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interest arises. </w:t>
      </w:r>
      <w:r>
        <w:rPr>
          <w:rFonts w:ascii="Times New Roman" w:cs="Times New Roman" w:eastAsia="Times New Roman" w:hAnsi="Times New Roman"/>
          <w:sz w:val="24"/>
          <w:szCs w:val="24"/>
        </w:rPr>
        <w:t xml:space="preserve">Interest under Section 50(3), read with Rule 88B, is attracted only where wrongly availed credit is utilised, that is, where the total balance in the electronic credit ledger across the heads falls below the amount in question, to the detriment of the revenue. Here the credit was not so utilised and the total balance was maintained, as the annexed head-wise ledger establishes; no interest is payable. This is consistent with Circular 192/04/2023-GST dated 17.07.2023.</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proposed reversal and interest be dropped, the wrong-head availment being a revenue-neutral clerical error; and that an opportunity of personal hearing be granted before any adverse order.</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abstractNum w:abstractNumId="5" w15:restartNumberingAfterBreak="0">
    <w:multiLevelType w:val="hybridMultilevel"/>
    <w:lvl w:ilvl="0" w15:tentative="1">
      <w:start w:val="1"/>
      <w:numFmt w:val="decimal"/>
      <w:lvlText w:val="%1."/>
      <w:lvlJc w:val="left"/>
      <w:pPr>
        <w:ind w:left="600" w:hanging="360"/>
      </w:pPr>
    </w:lvl>
  </w:abstractNum>
  <w:abstractNum w:abstractNumId="6"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2026-06-17T01:59:20.469Z</dcterms:created>
  <dcterms:modified xsi:type="dcterms:W3CDTF">2026-06-17T01:59:20.469Z</dcterms:modified>
</cp:coreProperties>
</file>

<file path=docProps/custom.xml><?xml version="1.0" encoding="utf-8"?>
<Properties xmlns="http://schemas.openxmlformats.org/officeDocument/2006/custom-properties" xmlns:vt="http://schemas.openxmlformats.org/officeDocument/2006/docPropsVTypes"/>
</file>