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 Audit Observation)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 observation demanding reversal of input tax credit under Section 17(5)(h) on account of normal manufacturing / process loss of inputs.</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Section 17(5)(h) (‘goods lost, stolen, destroyed, written off or disposed of by way of gift or free samples’) does NOT cover normal manufacturing/process loss — the inputs were consumed in manufacture and ‘used in the course or furtherance of business’, not ‘lost/destroyed’ as goods.</w:t>
      </w:r>
    </w:p>
    <w:p>
      <w:pPr>
        <w:spacing w:after="80"/>
        <w:jc w:val="both"/>
      </w:pPr>
      <w:r>
        <w:rPr>
          <w:rFonts w:ascii="Times New Roman" w:cs="Times New Roman" w:eastAsia="Times New Roman" w:hAnsi="Times New Roman"/>
          <w:i/>
          <w:iCs/>
          <w:sz w:val="24"/>
          <w:szCs w:val="24"/>
        </w:rPr>
        <w:t xml:space="preserve">Lead authority (verified): ARS Steels &amp; Alloy International Pvt. Ltd. v. State Tax Officer (Madras HC, 24.06.2021, 2021 (52) GSTL 402) — inherent process/invisible loss is not covered by Section 17(5)(h); relied on Rupa &amp; Co (CESTAT).</w:t>
      </w:r>
    </w:p>
    <w:p>
      <w:pPr>
        <w:spacing w:after="80"/>
        <w:jc w:val="both"/>
      </w:pPr>
      <w:r>
        <w:rPr>
          <w:rFonts w:ascii="Times New Roman" w:cs="Times New Roman" w:eastAsia="Times New Roman" w:hAnsi="Times New Roman"/>
          <w:i/>
          <w:iCs/>
          <w:sz w:val="24"/>
          <w:szCs w:val="24"/>
        </w:rPr>
        <w:t xml:space="preserve">Distinguish the contrary line (do not conflate): Telangana AAAR (fire-destruction, 2025) and the pharma time-expired-goods circular concern DESTRUCTION of goods, not inherent process loss; and a separate ARS Steels matter (24.10.2024) on gold coins/T-shirts and stock differences is unrelated. Annex the normal-loss/yield data and the manufacturing process note.</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reversal is demanded under Section 17(5)(h) on the footing that a portion of the inputs was “lost” in the manufacturing process. Section 17(5)(h) deals with goods lost, stolen, destroyed, written off or given away — it does not apply to the inevitable loss of input that occurs in the course of manufacture. The inputs in question were consumed in the manufacture of the noticee’s finished goods, and the credit on them is not liable to be reversed.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Process loss is not a loss of goods under Section 17(5)(h). </w:t>
      </w:r>
      <w:r>
        <w:rPr>
          <w:rFonts w:ascii="Times New Roman" w:cs="Times New Roman" w:eastAsia="Times New Roman" w:hAnsi="Times New Roman"/>
          <w:sz w:val="24"/>
          <w:szCs w:val="24"/>
        </w:rPr>
        <w:t xml:space="preserve">Section 17(5)(h) blocks credit on goods lost, stolen, destroyed, written off or disposed of by way of gift or free samples — that is, quantifiable losses of goods as goods, occasioned by external factors. The normal loss of input that occurs in the very process of manufacture (for example, as burning loss, invisible loss or shrinkage) is not a loss of goods within that clause; the input is consumed in making the finished product.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inputs were used in the course or furtherance of business. </w:t>
      </w:r>
      <w:r>
        <w:rPr>
          <w:rFonts w:ascii="Times New Roman" w:cs="Times New Roman" w:eastAsia="Times New Roman" w:hAnsi="Times New Roman"/>
          <w:sz w:val="24"/>
          <w:szCs w:val="24"/>
        </w:rPr>
        <w:t xml:space="preserve">The inputs were used in the manufacture of the noticee’s taxable finished goods, and so were used in the course or furtherance of business within Section 16(1). The portion lost as inherent process loss is part and parcel of that use; it is not diverted, destroyed or written off. The credit on the inputs is therefore admissible and not liable to reversal.</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position in law. </w:t>
      </w:r>
      <w:r>
        <w:rPr>
          <w:rFonts w:ascii="Times New Roman" w:cs="Times New Roman" w:eastAsia="Times New Roman" w:hAnsi="Times New Roman"/>
          <w:sz w:val="24"/>
          <w:szCs w:val="24"/>
        </w:rPr>
        <w:t xml:space="preserve">As held by the Madras High Court in ARS Steels and Alloy International Pvt. Ltd. v. State Tax Officer, the reversal of input tax credit under Section 17(5)(h) is not contemplated in respect of the loss of input that is inherent in the manufacturing process; that provision is attracted by loss of goods as goods, and not by the consumption or invisible loss occurring in manufacture.</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Normal loss is within accepted norms. </w:t>
      </w:r>
      <w:r>
        <w:rPr>
          <w:rFonts w:ascii="Times New Roman" w:cs="Times New Roman" w:eastAsia="Times New Roman" w:hAnsi="Times New Roman"/>
          <w:sz w:val="24"/>
          <w:szCs w:val="24"/>
        </w:rPr>
        <w:t xml:space="preserve">The process loss in the noticee’s case is within the normal/standard loss for its manufacture, as the annexed yield and normal-loss data and the process note demonstrate. There is no abnormal loss, no destruction and no writing off of goods that could attract Section 17(5)(h).</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proposed reversal under Section 17(5)(h) be dropped, normal manufacturing / process loss not being a loss of goods within that provision;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2026-06-17T01:59:20.524Z</dcterms:created>
  <dcterms:modified xsi:type="dcterms:W3CDTF">2026-06-17T01:59:20.524Z</dcterms:modified>
</cp:coreProperties>
</file>

<file path=docProps/custom.xml><?xml version="1.0" encoding="utf-8"?>
<Properties xmlns="http://schemas.openxmlformats.org/officeDocument/2006/custom-properties" xmlns:vt="http://schemas.openxmlformats.org/officeDocument/2006/docPropsVTypes"/>
</file>