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State Tax Officer / Proper Officer,</w:t>
      </w:r>
    </w:p>
    <w:p>
      <w:pPr>
        <w:spacing w:after="20"/>
      </w:pPr>
      <w:r>
        <w:rPr>
          <w:rFonts w:ascii="Times New Roman" w:cs="Times New Roman" w:eastAsia="Times New Roman" w:hAnsi="Times New Roman"/>
          <w:sz w:val="24"/>
          <w:szCs w:val="24"/>
        </w:rPr>
        <w:t xml:space="preserve">Goods and Services Tax, Jaipur,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Form GST MOV-07 Reference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Reply/objection to the Show Cause Notice in Form GST MOV-07 proposing penalty under Section 129 on the value of the goods.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CRITICAL QUANTUM CORRECTION: for detentions on or after 01.01.2022 (Finance Act 2021; Notif 39/2021-CT), the penalty is NOT the old ‘100% of tax + equal tax’. Current Section 129(1): (a) owner comes forward — penalty equal to 100% of the tax payable (i.e. tax + 100% penalty), exempted goods 2% of value or Rs.25,000 whichever is less; (b) owner does not come forward — 50% of the value of the goods reduced by the tax paid, or 200% of the tax, whichever is higher, exempted goods 5% or Rs.25,000 whichever is less.</w:t>
      </w:r>
    </w:p>
    <w:p>
      <w:pPr>
        <w:spacing w:after="80"/>
        <w:jc w:val="both"/>
      </w:pPr>
      <w:r>
        <w:rPr>
          <w:rFonts w:ascii="Times New Roman" w:cs="Times New Roman" w:eastAsia="Times New Roman" w:hAnsi="Times New Roman"/>
          <w:i/>
          <w:iCs/>
          <w:sz w:val="24"/>
          <w:szCs w:val="24"/>
        </w:rPr>
        <w:t xml:space="preserve">So a proposal computing penalty as a flat percentage of VALUE where the owner has come forward is wrong — it should be tax-based (tax + 100%). Confirm the detention date to select the regime (pre-01.01.2022 = old ‘tax + equal penalty’).</w:t>
      </w:r>
    </w:p>
    <w:p>
      <w:pPr>
        <w:spacing w:after="80"/>
        <w:jc w:val="both"/>
      </w:pPr>
      <w:r>
        <w:rPr>
          <w:rFonts w:ascii="Times New Roman" w:cs="Times New Roman" w:eastAsia="Times New Roman" w:hAnsi="Times New Roman"/>
          <w:i/>
          <w:iCs/>
          <w:sz w:val="24"/>
          <w:szCs w:val="24"/>
        </w:rPr>
        <w:t xml:space="preserve">Section 129(2) is omitted (no bond/security release). Section 129(3): MOV-07 within 7 days, MOV-09 within 7 days of service; Section 129(4) hearing. Appeal under Section 107 needs 25% of penalty as pre-deposit for a Section 129(3) order. Also run the mens-rea/Satyam Shivam line where the lapse is technical.</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notice proposes a penalty computed on the value of the goods. That is not the measure the statute prescribes. For a detention of the present kind, where the owner of the goods has come forward, Section 129(1)(a) fixes the penalty by reference to the tax payable on the goods, and not as a percentage of their value. The proposed computation is contrary to Section 129 as it stands.</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correct measure of penalty. </w:t>
      </w:r>
      <w:r>
        <w:rPr>
          <w:rFonts w:ascii="Times New Roman" w:cs="Times New Roman" w:eastAsia="Times New Roman" w:hAnsi="Times New Roman"/>
          <w:sz w:val="24"/>
          <w:szCs w:val="24"/>
        </w:rPr>
        <w:t xml:space="preserve">Section 129(1), as it stands with effect from 01.01.2022, provides: under clause (a), where the owner comes forward, release is on payment of the applicable tax and a penalty equal to one hundred per cent of the tax payable on the goods (and, for exempted goods, two per cent of the value or twenty-five thousand rupees, whichever is less); under clause (b), where the owner does not come forward, on payment of a penalty equal to fifty per cent of the value of the goods reduced by the tax paid thereon, or two hundred per cent of the tax, whichever is higher (and, for exempted goods, five per cent of the value or twenty-five thousand rupees, whichever is less).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owner has come forward. </w:t>
      </w:r>
      <w:r>
        <w:rPr>
          <w:rFonts w:ascii="Times New Roman" w:cs="Times New Roman" w:eastAsia="Times New Roman" w:hAnsi="Times New Roman"/>
          <w:sz w:val="24"/>
          <w:szCs w:val="24"/>
        </w:rPr>
        <w:t xml:space="preserve">The noticee, being the owner of the goods, has come forward for release. The penalty is therefore to be computed under clause (a), by reference to the tax payable on the goods — not as a percentage of their value. The proposal to levy a penalty on the value of the goods is misconceived and is denied.</w:t>
      </w:r>
    </w:p>
    <w:p>
      <w:pPr>
        <w:pStyle w:val="ListParagraph"/>
        <w:numPr>
          <w:ilvl w:val="0"/>
          <w:numId w:val="2"/>
        </w:numPr>
        <w:spacing w:after="120"/>
        <w:jc w:val="both"/>
      </w:pPr>
      <w:r>
        <w:rPr>
          <w:rFonts w:ascii="Times New Roman" w:cs="Times New Roman" w:eastAsia="Times New Roman" w:hAnsi="Times New Roman"/>
          <w:b/>
          <w:bCs/>
          <w:sz w:val="24"/>
          <w:szCs w:val="24"/>
        </w:rPr>
        <w:t xml:space="preserve">No intent to evade in any event. </w:t>
      </w:r>
      <w:r>
        <w:rPr>
          <w:rFonts w:ascii="Times New Roman" w:cs="Times New Roman" w:eastAsia="Times New Roman" w:hAnsi="Times New Roman"/>
          <w:sz w:val="24"/>
          <w:szCs w:val="24"/>
        </w:rPr>
        <w:t xml:space="preserve">The goods were accompanied by valid documents and there is neither tax evasion nor any intent to evade. As held by the Supreme Court in Assistant Commissioner (ST) v. Satyam Shivam Papers Pvt. Ltd., the presence of an intention to evade tax is a sine qua non for a penalty under Section 129; a bona fide or technical lapse does not attract it.</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Opportunity of hearing. </w:t>
      </w:r>
      <w:r>
        <w:rPr>
          <w:rFonts w:ascii="Times New Roman" w:cs="Times New Roman" w:eastAsia="Times New Roman" w:hAnsi="Times New Roman"/>
          <w:sz w:val="24"/>
          <w:szCs w:val="24"/>
        </w:rPr>
        <w:t xml:space="preserve">The noticee seeks an opportunity of personal hearing under Section 129(4) before any order is passed, and reserves the right to appeal under Section 107 (on a pre-deposit of twenty-five per cent of the penalty) against any order under Section 129(3).</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proposal to levy penalty on the value of the goods be dropped; that the goods and conveyance be released on the correct basis under Section 129(1)(a); and that an opportunity of personal hearing be granted before any order.</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2026-08-08T11:03:31.227Z</dcterms:created>
  <dcterms:modified xsi:type="dcterms:W3CDTF">2026-08-08T11:03:31.227Z</dcterms:modified>
</cp:coreProperties>
</file>

<file path=docProps/custom.xml><?xml version="1.0" encoding="utf-8"?>
<Properties xmlns="http://schemas.openxmlformats.org/officeDocument/2006/custom-properties" xmlns:vt="http://schemas.openxmlformats.org/officeDocument/2006/docPropsVTypes"/>
</file>