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Times New Roman" w:cs="Times New Roman" w:eastAsia="Times New Roman" w:hAnsi="Times New Roman"/>
          <w:sz w:val="24"/>
          <w:szCs w:val="24"/>
        </w:rPr>
        <w:t xml:space="preserve">To,</w:t>
      </w:r>
    </w:p>
    <w:p>
      <w:pPr>
        <w:spacing w:after="20"/>
      </w:pPr>
      <w:r>
        <w:rPr>
          <w:rFonts w:ascii="Times New Roman" w:cs="Times New Roman" w:eastAsia="Times New Roman" w:hAnsi="Times New Roman"/>
          <w:sz w:val="24"/>
          <w:szCs w:val="24"/>
        </w:rPr>
        <w:t xml:space="preserve">The State Tax Officer (Audit),</w:t>
      </w:r>
    </w:p>
    <w:p>
      <w:pPr>
        <w:spacing w:after="20"/>
      </w:pPr>
      <w:r>
        <w:rPr>
          <w:rFonts w:ascii="Times New Roman" w:cs="Times New Roman" w:eastAsia="Times New Roman" w:hAnsi="Times New Roman"/>
          <w:sz w:val="24"/>
          <w:szCs w:val="24"/>
        </w:rPr>
        <w:t xml:space="preserve">Goods and Services Tax, Jaipur, Rajasthan</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GSTIN: ____________________</w:t>
      </w:r>
    </w:p>
    <w:p>
      <w:pPr>
        <w:spacing w:after="20"/>
      </w:pPr>
      <w:r>
        <w:rPr>
          <w:rFonts w:ascii="Times New Roman" w:cs="Times New Roman" w:eastAsia="Times New Roman" w:hAnsi="Times New Roman"/>
          <w:sz w:val="24"/>
          <w:szCs w:val="24"/>
        </w:rPr>
        <w:t xml:space="preserve">Trade Name: M/s Notice Desk Private Limited</w:t>
      </w:r>
    </w:p>
    <w:p>
      <w:pPr>
        <w:spacing w:after="20"/>
      </w:pPr>
      <w:r>
        <w:rPr>
          <w:rFonts w:ascii="Times New Roman" w:cs="Times New Roman" w:eastAsia="Times New Roman" w:hAnsi="Times New Roman"/>
          <w:sz w:val="24"/>
          <w:szCs w:val="24"/>
        </w:rPr>
        <w:t xml:space="preserve">Form GST ADT-01 Reference No.: ____________  dated __________  (FY 2017-18)</w:t>
      </w:r>
    </w:p>
    <w:p>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Request that the audit observations / draft audit report be shared before finalisation of the audit under Section 65, no observation or draft report having been communicated after completion of the audit.</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Basis: Rule 101(4) requires the proper officer to inform the registered person of the discrepancies noticed and to finalise the findings after considering the reply; Section 65(6) requires the findings to be communicated in Form ADT-02. Read together with natural justice, the draft observations must be put to the taxpayer for comment before finalisation.</w:t>
      </w:r>
    </w:p>
    <w:p>
      <w:pPr>
        <w:spacing w:after="80"/>
        <w:jc w:val="both"/>
      </w:pPr>
      <w:r>
        <w:rPr>
          <w:rFonts w:ascii="Times New Roman" w:cs="Times New Roman" w:eastAsia="Times New Roman" w:hAnsi="Times New Roman"/>
          <w:i/>
          <w:iCs/>
          <w:sz w:val="24"/>
          <w:szCs w:val="24"/>
        </w:rPr>
        <w:t xml:space="preserve">Manual reference CORRECTED: cite the Model All India GST Audit Manual 2023 (not the 2019 Manual; if the 2019 Manual is cited, the correct pinpoint is Ch.4, paras 4.13–4.15, p.40).</w:t>
      </w:r>
    </w:p>
    <w:p>
      <w:pPr>
        <w:spacing w:after="80"/>
        <w:jc w:val="both"/>
      </w:pPr>
      <w:r>
        <w:rPr>
          <w:rFonts w:ascii="Times New Roman" w:cs="Times New Roman" w:eastAsia="Times New Roman" w:hAnsi="Times New Roman"/>
          <w:i/>
          <w:iCs/>
          <w:sz w:val="24"/>
          <w:szCs w:val="24"/>
        </w:rPr>
        <w:t xml:space="preserve">Authority: PBL Transport Corporation (AP HC, 2024) — an ADT-02 finalised without considering the reply is liable to be quashed; Varian Medical Systems (Delhi HC, WP(C) 10642/2025, 28.10.2025) — an SCN before expiry of the reply period breaches natural justice. Temper the pleading against ABT Ltd (Madras HC) — audit conclusion does not bar a later Section 73/74 SCN; argue PROCEDURE (draft observations/opportunity), not an audit-bar. Insert the ADT-01 and completion dates.</w:t>
      </w:r>
    </w:p>
    <w:p>
      <w:r>
        <w:rPr>
          <w:rFonts w:ascii="Times New Roman" w:cs="Times New Roman" w:eastAsia="Times New Roman" w:hAnsi="Times New Roman"/>
          <w:sz w:val="24"/>
          <w:szCs w:val="24"/>
        </w:rPr>
        <w:t xml:space="preserve"/>
      </w:r>
    </w:p>
    <w:p>
      <w:pPr>
        <w:spacing w:after="80" w:before="120"/>
      </w:pPr>
      <w:r>
        <w:rPr>
          <w:rFonts w:ascii="Times New Roman" w:cs="Times New Roman" w:eastAsia="Times New Roman" w:hAnsi="Times New Roman"/>
          <w:b/>
          <w:bCs/>
          <w:sz w:val="24"/>
          <w:szCs w:val="24"/>
        </w:rPr>
        <w:t xml:space="preserve">Synopsis</w:t>
      </w:r>
    </w:p>
    <w:p>
      <w:pPr>
        <w:spacing w:after="120"/>
        <w:jc w:val="both"/>
      </w:pPr>
      <w:r>
        <w:rPr>
          <w:rFonts w:ascii="Times New Roman" w:cs="Times New Roman" w:eastAsia="Times New Roman" w:hAnsi="Times New Roman"/>
          <w:sz w:val="24"/>
          <w:szCs w:val="24"/>
        </w:rPr>
        <w:t xml:space="preserve">The audit of the noticee under Section 65 for FY 2017-18 has been completed, but no audit observation and no draft audit report have been communicated to the noticee. Without the observations, the noticee cannot place its explanation, and any finalisation of the audit findings or issuance of a show cause notice at this stage would be in breach of the prescribed procedure and of natural justice. The noticee requests that the observations / draft report be shared and a reasonable opportunity to respond be granted.</w:t>
      </w:r>
    </w:p>
    <w:p>
      <w:pPr>
        <w:spacing w:after="80" w:before="120"/>
      </w:pPr>
      <w:r>
        <w:rPr>
          <w:rFonts w:ascii="Times New Roman" w:cs="Times New Roman" w:eastAsia="Times New Roman" w:hAnsi="Times New Roman"/>
          <w:b/>
          <w:bCs/>
          <w:sz w:val="24"/>
          <w:szCs w:val="24"/>
        </w:rPr>
        <w:t xml:space="preserve">Submissions</w:t>
      </w:r>
    </w:p>
    <w:p>
      <w:pPr>
        <w:pStyle w:val="ListParagraph"/>
        <w:numPr>
          <w:ilvl w:val="0"/>
          <w:numId w:val="2"/>
        </w:numPr>
        <w:spacing w:after="120"/>
        <w:jc w:val="both"/>
      </w:pPr>
      <w:r>
        <w:rPr>
          <w:rFonts w:ascii="Times New Roman" w:cs="Times New Roman" w:eastAsia="Times New Roman" w:hAnsi="Times New Roman"/>
          <w:b/>
          <w:bCs/>
          <w:sz w:val="24"/>
          <w:szCs w:val="24"/>
        </w:rPr>
        <w:t xml:space="preserve">Discrepancies must be put to the noticee. </w:t>
      </w:r>
      <w:r>
        <w:rPr>
          <w:rFonts w:ascii="Times New Roman" w:cs="Times New Roman" w:eastAsia="Times New Roman" w:hAnsi="Times New Roman"/>
          <w:sz w:val="24"/>
          <w:szCs w:val="24"/>
        </w:rPr>
        <w:t xml:space="preserve">Rule 101(4) requires the proper officer, on the basis of the audit, to inform the registered person of the discrepancies noticed, whereupon the registered person may file its reply, and the proper officer is to finalise the findings after due consideration of that reply. The rule presupposes that the observations are shared with the noticee before the findings are finalised.</w:t>
      </w:r>
    </w:p>
    <w:p>
      <w:pPr>
        <w:pStyle w:val="ListParagraph"/>
        <w:numPr>
          <w:ilvl w:val="0"/>
          <w:numId w:val="2"/>
        </w:numPr>
        <w:spacing w:after="120"/>
        <w:jc w:val="both"/>
      </w:pPr>
      <w:r>
        <w:rPr>
          <w:rFonts w:ascii="Times New Roman" w:cs="Times New Roman" w:eastAsia="Times New Roman" w:hAnsi="Times New Roman"/>
          <w:b/>
          <w:bCs/>
          <w:sz w:val="24"/>
          <w:szCs w:val="24"/>
        </w:rPr>
        <w:t xml:space="preserve">Findings are then communicated in ADT-02. </w:t>
      </w:r>
      <w:r>
        <w:rPr>
          <w:rFonts w:ascii="Times New Roman" w:cs="Times New Roman" w:eastAsia="Times New Roman" w:hAnsi="Times New Roman"/>
          <w:sz w:val="24"/>
          <w:szCs w:val="24"/>
        </w:rPr>
        <w:t xml:space="preserve">Section 65(6) requires the proper officer, on conclusion of the audit, to inform the registered person of the findings, the reasons for them and its rights and obligations, in Form GST ADT-02. The Model All India GST Audit Manual likewise requires the auditor to apprise the registered person of the irregularities noticed and to ascertain its view point before preparing the draft audit report.</w:t>
      </w:r>
    </w:p>
    <w:p>
      <w:pPr>
        <w:pStyle w:val="ListParagraph"/>
        <w:numPr>
          <w:ilvl w:val="0"/>
          <w:numId w:val="2"/>
        </w:numPr>
        <w:spacing w:after="120"/>
        <w:jc w:val="both"/>
      </w:pPr>
      <w:r>
        <w:rPr>
          <w:rFonts w:ascii="Times New Roman" w:cs="Times New Roman" w:eastAsia="Times New Roman" w:hAnsi="Times New Roman"/>
          <w:b/>
          <w:bCs/>
          <w:sz w:val="24"/>
          <w:szCs w:val="24"/>
        </w:rPr>
        <w:t xml:space="preserve">Finalisation without the reply is unsustainable. </w:t>
      </w:r>
      <w:r>
        <w:rPr>
          <w:rFonts w:ascii="Times New Roman" w:cs="Times New Roman" w:eastAsia="Times New Roman" w:hAnsi="Times New Roman"/>
          <w:sz w:val="24"/>
          <w:szCs w:val="24"/>
        </w:rPr>
        <w:t xml:space="preserve">As held by the Andhra Pradesh High Court in PBL Transport Corporation Pvt. Ltd., an audit report finalised without considering the registered person’s reply to the discrepancies is liable to be set aside; and, as the Delhi High Court held in Varian Medical Systems, issuing a show cause notice before the time to respond has expired violates natural justice. The noticee is entitled to the observations and to a reasonable opportunity to respond before the audit is finalised.</w:t>
      </w:r>
      <w:r>
        <w:rPr>
          <w:rFonts w:ascii="Times New Roman" w:cs="Times New Roman" w:eastAsia="Times New Roman" w:hAnsi="Times New Roman"/>
          <w:b/>
          <w:bCs/>
          <w:sz w:val="24"/>
          <w:szCs w:val="24"/>
        </w:rPr>
        <w:t xml:space="preserve"> [VERIFY]</w:t>
      </w:r>
    </w:p>
    <w:p>
      <w:pPr>
        <w:spacing w:after="80" w:before="120"/>
      </w:pPr>
      <w:r>
        <w:rPr>
          <w:rFonts w:ascii="Times New Roman" w:cs="Times New Roman" w:eastAsia="Times New Roman" w:hAnsi="Times New Roman"/>
          <w:b/>
          <w:bCs/>
          <w:sz w:val="24"/>
          <w:szCs w:val="24"/>
        </w:rPr>
        <w:t xml:space="preserve">Prayer</w:t>
      </w:r>
    </w:p>
    <w:p>
      <w:pPr>
        <w:pStyle w:val="ListParagraph"/>
        <w:numPr>
          <w:ilvl w:val="0"/>
          <w:numId w:val="3"/>
        </w:numPr>
        <w:spacing w:after="120"/>
        <w:jc w:val="both"/>
      </w:pPr>
      <w:r>
        <w:rPr>
          <w:rFonts w:ascii="Times New Roman" w:cs="Times New Roman" w:eastAsia="Times New Roman" w:hAnsi="Times New Roman"/>
          <w:sz w:val="24"/>
          <w:szCs w:val="24"/>
        </w:rPr>
        <w:t xml:space="preserve">It is respectfully prayed that the audit observations / draft audit report be furnished to the noticee, and a reasonable opportunity to submit its explanation be granted, before the audit findings are finalised in Form GST ADT-02 or any show cause notice is issued.</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3"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2026-08-08T11:03:31.290Z</dcterms:created>
  <dcterms:modified xsi:type="dcterms:W3CDTF">2026-08-08T11:03:31.290Z</dcterms:modified>
</cp:coreProperties>
</file>

<file path=docProps/custom.xml><?xml version="1.0" encoding="utf-8"?>
<Properties xmlns="http://schemas.openxmlformats.org/officeDocument/2006/custom-properties" xmlns:vt="http://schemas.openxmlformats.org/officeDocument/2006/docPropsVTypes"/>
</file>