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REG-05</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Order of Rejection of Application for Revocation of Cancellation — Revocation of Cancellation APL01</w:t>
      </w:r>
    </w:p>
    <w:p>
      <w:pPr>
        <w:jc w:val="left"/>
      </w:pPr>
      <w:r>
        <w:rPr>
          <w:rFonts w:ascii="Times New Roman" w:hAnsi="Times New Roman"/>
          <w:b w:val="0"/>
          <w:i/>
          <w:sz w:val="24"/>
        </w:rPr>
        <w:t>Statutory reference: Section 74(1)), APL-01,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This is to inform you that, on adjudication of the proceedings referred to above, the following order has been passed by the Proper Officer:</w:t>
      </w:r>
    </w:p>
    <w:p>
      <w:pPr>
        <w:jc w:val="left"/>
      </w:pPr>
      <w:r>
        <w:rPr>
          <w:rFonts w:ascii="Times New Roman" w:hAnsi="Times New Roman"/>
          <w:b/>
          <w:i w:val="0"/>
          <w:sz w:val="24"/>
        </w:rPr>
        <w:t>ALLEGATIONS / GROUNDS</w:t>
      </w:r>
    </w:p>
    <w:p>
      <w:pPr>
        <w:jc w:val="both"/>
      </w:pPr>
      <w:r>
        <w:rPr>
          <w:rFonts w:ascii="Times New Roman" w:hAnsi="Times New Roman"/>
          <w:b w:val="0"/>
          <w:i w:val="0"/>
          <w:sz w:val="24"/>
        </w:rPr>
        <w:t>Arising out of a show cause notice under Section 74(1) alleging supply without actual movement of goods, the registration of the Appellant came to be cancelled and a demand confirmed.</w:t>
      </w:r>
    </w:p>
    <w:p>
      <w:pPr>
        <w:jc w:val="left"/>
      </w:pPr>
      <w:r>
        <w:rPr>
          <w:rFonts w:ascii="Times New Roman" w:hAnsi="Times New Roman"/>
          <w:b/>
          <w:i w:val="0"/>
          <w:sz w:val="24"/>
        </w:rPr>
        <w:t>DIRECTION</w:t>
      </w:r>
    </w:p>
    <w:p>
      <w:pPr>
        <w:jc w:val="both"/>
      </w:pPr>
      <w:r>
        <w:rPr>
          <w:rFonts w:ascii="Times New Roman" w:hAnsi="Times New Roman"/>
          <w:b w:val="0"/>
          <w:i w:val="0"/>
          <w:sz w:val="24"/>
        </w:rPr>
        <w:t>You are informed of the above for your record and for such further action, including filing an appeal under Section 107 within the time permitted under the Act, as you may be advised to take.</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