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Mismatch GSTR2A 3B FY1718 1819</w:t>
      </w:r>
    </w:p>
    <w:p>
      <w:pPr>
        <w:jc w:val="left"/>
      </w:pPr>
      <w:r>
        <w:rPr>
          <w:rFonts w:ascii="Times New Roman" w:hAnsi="Times New Roman"/>
          <w:b w:val="0"/>
          <w:i/>
          <w:sz w:val="24"/>
        </w:rPr>
        <w:t>Statutory reference: Section 16, ASMT-10, DRC-01,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alleges that, for FY 2017-18 and FY 2018-19, the Company availed input tax credit in excess of the amount auto-populated in Form GSTR-2A, and proposes reversal with interest and penalty. The allegation is misconceived. For those years, availment of credit was governed by Section 16 read with Rule 36; Form GSTR-2A was not a statutory condition for the availment of credit.</w:t>
      </w:r>
    </w:p>
    <w:p>
      <w:pPr>
        <w:jc w:val="both"/>
      </w:pPr>
      <w:r>
        <w:rPr>
          <w:rFonts w:ascii="Times New Roman" w:hAnsi="Times New Roman"/>
          <w:b w:val="0"/>
          <w:i w:val="0"/>
          <w:sz w:val="24"/>
        </w:rPr>
        <w:t>The amount involved / demanded is computed at approximately Rs. 5,00,000,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