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DRC01 Without DRC01A</w:t>
      </w:r>
    </w:p>
    <w:p>
      <w:pPr>
        <w:jc w:val="left"/>
      </w:pPr>
      <w:r>
        <w:rPr>
          <w:rFonts w:ascii="Times New Roman" w:hAnsi="Times New Roman"/>
          <w:b w:val="0"/>
          <w:i/>
          <w:sz w:val="24"/>
        </w:rPr>
        <w:t>Statutory reference: Section 74(5), DRC-01, DRC-01A.</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In Form GST DRC-01 was issued without the proper officer first communicating the details of the proposed tax, interest and penalty in Form GST DRC-01A, as required by Rule 142(1A) read with Sections 73(5) and 74(5). For the period during which Rule 142(1A) was in mandatory terms (from its insertion on 9 October 2019 until its amendment on 15 October 2020), the pre-show-cause intimation was a meaningful procedural safeguard — affording the registered person the opportunity to ascertain and pay, with reduced or no penalty, before a formal notice issued.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