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Rule86A Supplier NotTraceable</w:t>
      </w:r>
    </w:p>
    <w:p>
      <w:pPr>
        <w:jc w:val="left"/>
      </w:pPr>
      <w:r>
        <w:rPr>
          <w:rFonts w:ascii="Times New Roman" w:hAnsi="Times New Roman"/>
          <w:b w:val="0"/>
          <w:i/>
          <w:sz w:val="24"/>
        </w:rPr>
        <w:t>Statutory reference: Section 16.</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proper officer has invoked Rule 86A to block / direct reversal of input tax credit of Rs. [____], on the ground that, on a verification visit, the Company’s supplier was not found at its registered place of business.</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