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REG-05</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Order of Rejection of Application for Revocation of Cancellation — Revocation RejectionWithoutReasons</w:t>
      </w:r>
    </w:p>
    <w:p>
      <w:pPr>
        <w:jc w:val="left"/>
      </w:pPr>
      <w:r>
        <w:rPr>
          <w:rFonts w:ascii="Times New Roman" w:hAnsi="Times New Roman"/>
          <w:b w:val="0"/>
          <w:i/>
          <w:sz w:val="24"/>
        </w:rPr>
        <w:t>Statutory reference: REG-05, REG-23, REG-21.</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This is to inform you that, on adjudication of the proceedings referred to above, the following order has been passed by the Proper Officer:</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registered person's application in FORM GST REG-21 for revocation of cancellation of registration was rejected in FORM GST REG-05 without recording independent reasons or affording an opportunity of hearing as mandated by Rule 23 read with the principles of natural justice.</w:t>
      </w:r>
    </w:p>
    <w:p>
      <w:pPr>
        <w:jc w:val="left"/>
      </w:pPr>
      <w:r>
        <w:rPr>
          <w:rFonts w:ascii="Times New Roman" w:hAnsi="Times New Roman"/>
          <w:b/>
          <w:i w:val="0"/>
          <w:sz w:val="24"/>
        </w:rPr>
        <w:t>DIRECTION</w:t>
      </w:r>
    </w:p>
    <w:p>
      <w:pPr>
        <w:jc w:val="both"/>
      </w:pPr>
      <w:r>
        <w:rPr>
          <w:rFonts w:ascii="Times New Roman" w:hAnsi="Times New Roman"/>
          <w:b w:val="0"/>
          <w:i w:val="0"/>
          <w:sz w:val="24"/>
        </w:rPr>
        <w:t>You are informed of the above for your record and for such further action, including filing an appeal under Section 107 within the time permitted under the Act, as you may be advised to take.</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(Proper Officer)</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