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ASMT-13</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Best Judgment Assessment Order under Section 62 — Section62 Withdrawal</w:t>
      </w:r>
    </w:p>
    <w:p>
      <w:pPr>
        <w:jc w:val="left"/>
      </w:pPr>
      <w:r>
        <w:rPr>
          <w:rFonts w:ascii="Times New Roman" w:hAnsi="Times New Roman"/>
          <w:b w:val="0"/>
          <w:i/>
          <w:sz w:val="24"/>
        </w:rPr>
        <w:t>Statutory reference: Section 62, DRC-03.</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This is to inform you that, on adjudication of the proceedings referred to above, the following order has been passed by the Proper Officer:</w:t>
      </w:r>
    </w:p>
    <w:p>
      <w:pPr>
        <w:jc w:val="left"/>
      </w:pPr>
      <w:r>
        <w:rPr>
          <w:rFonts w:ascii="Times New Roman" w:hAnsi="Times New Roman"/>
          <w:b/>
          <w:i w:val="0"/>
          <w:sz w:val="24"/>
        </w:rPr>
        <w:t>ALLEGATIONS / GROUNDS</w:t>
      </w:r>
    </w:p>
    <w:p>
      <w:pPr>
        <w:jc w:val="both"/>
      </w:pPr>
      <w:r>
        <w:rPr>
          <w:rFonts w:ascii="Times New Roman" w:hAnsi="Times New Roman"/>
          <w:b w:val="0"/>
          <w:i w:val="0"/>
          <w:sz w:val="24"/>
        </w:rPr>
        <w:t>A best-judgment assessment order was passed under Section 62 for non-furnishing of a return. The registered person has since furnished the valid return together with interest and late fee. Under Section 62(2), the furnishing of a valid return within thirty days of service of the order results in the order being deemed to have been withdrawn; and, in any event, the CBIC’s amnesty under Notification No.</w:t>
      </w:r>
    </w:p>
    <w:p>
      <w:pPr>
        <w:jc w:val="left"/>
      </w:pPr>
      <w:r>
        <w:rPr>
          <w:rFonts w:ascii="Times New Roman" w:hAnsi="Times New Roman"/>
          <w:b/>
          <w:i w:val="0"/>
          <w:sz w:val="24"/>
        </w:rPr>
        <w:t>DIRECTION</w:t>
      </w:r>
    </w:p>
    <w:p>
      <w:pPr>
        <w:jc w:val="both"/>
      </w:pPr>
      <w:r>
        <w:rPr>
          <w:rFonts w:ascii="Times New Roman" w:hAnsi="Times New Roman"/>
          <w:b w:val="0"/>
          <w:i w:val="0"/>
          <w:sz w:val="24"/>
        </w:rPr>
        <w:t>You are informed of the above for your record and for such further action, including filing an appeal under Section 107 within the time permitted under the Act, as you may be advised to take.</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(Proper Officer)</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