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DRC03 after DRC01A</w:t>
      </w:r>
    </w:p>
    <w:p>
      <w:pPr>
        <w:jc w:val="left"/>
      </w:pPr>
      <w:r>
        <w:rPr>
          <w:rFonts w:ascii="Times New Roman" w:hAnsi="Times New Roman"/>
          <w:b w:val="0"/>
          <w:i/>
          <w:sz w:val="24"/>
        </w:rPr>
        <w:t>Statutory reference: Section 73, DRC-03, DRC-01A,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Pursuant to an intimation in FORM GST DRC-01A under Section 73, the registered person has paid the tax with interest in FORM GST DRC-03 before issue of any show cause notice. Under Section 73(5) read with Rule 142(1A) and (2), payment on the basis of the DRC-01A ascertainment, before the notice, concludes the matter without penalty, and the Proper Officer is to issue an acknowledgement in FORM GST DRC-04.</w:t>
      </w:r>
    </w:p>
    <w:p>
      <w:pPr>
        <w:jc w:val="both"/>
      </w:pPr>
      <w:r>
        <w:rPr>
          <w:rFonts w:ascii="Times New Roman" w:hAnsi="Times New Roman"/>
          <w:b w:val="0"/>
          <w:i w:val="0"/>
          <w:sz w:val="24"/>
        </w:rPr>
        <w:t>The amount involved / demanded is computed at approximately Rs. 100,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