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ASMT-10</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Notice for Intimating Discrepancies in the Return after Scrutiny — ITC Compo to Regular</w:t>
      </w:r>
    </w:p>
    <w:p>
      <w:pPr>
        <w:jc w:val="left"/>
      </w:pPr>
      <w:r>
        <w:rPr>
          <w:rFonts w:ascii="Times New Roman" w:hAnsi="Times New Roman"/>
          <w:b w:val="0"/>
          <w:i/>
          <w:sz w:val="24"/>
        </w:rPr>
        <w:t>Statutory reference: Section 18(1)(c), ASMT-10, DRC-01A, DRC-01.</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Proper Officer (Scrutiny)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notice alleges that the registered person availed input tax credit in its GSTR-3B in excess of that appearing in its GSTR-2A. The difference is fully explained: the registered person switched from the composition scheme to the regular scheme, and on that switch became entitled, under Section 18(1)(c), to credit of input tax on the stock of inputs held on the day immediately preceding the date of liability to pay tax under Section 9.</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(Proper Officer (Scrutiny))</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