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DRC07 Unsigned</w:t>
      </w:r>
    </w:p>
    <w:p>
      <w:pPr>
        <w:jc w:val="left"/>
      </w:pPr>
      <w:r>
        <w:rPr>
          <w:rFonts w:ascii="Times New Roman" w:hAnsi="Times New Roman"/>
          <w:b w:val="0"/>
          <w:i/>
          <w:sz w:val="24"/>
        </w:rPr>
        <w:t>Statutory reference: DRC-07,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summary of order in FORM GST DRC-07, by which the demand was created, has not been signed / authenticated by the proper officer. An order that is not authenticated as required by law is no order in the eye of law; it is non-est and unenforceable, and the demand founded on it cannot stand. THE NOTE The appellant received the show cause notice on [____], filed its reply on [____], and thereafter the proper officer purported to pass an order, the summary whereof was uploaded in FORM GST DRC-07 on [____], creating a demand of tax, interest and penalty.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