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REG-17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for Cancellation of Registration — REG19 Unsigned</w:t>
      </w:r>
    </w:p>
    <w:p>
      <w:pPr>
        <w:jc w:val="left"/>
      </w:pPr>
      <w:r>
        <w:rPr>
          <w:rFonts w:ascii="Times New Roman" w:hAnsi="Times New Roman"/>
          <w:b w:val="0"/>
          <w:i/>
          <w:sz w:val="24"/>
        </w:rPr>
        <w:t>Statutory reference: Section 29, REG-19.</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order cancelling the appellant’s registration in FORM GST REG-19 has not been signed / authenticated by the proper officer. An unauthenticated order is non-est in law; the cancellation founded on it is without legal effect and is liable to be set aside. THE NOTE The appellant received a show cause notice on [____], filed its reply on [____], and the proper officer thereafter passed an order in FORM GST REG-19 on [____], cancelling the registration with effect from [____].</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